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29C1" w14:textId="4973B38B" w:rsidR="00983C7F" w:rsidRDefault="00F976E8" w:rsidP="003D21AE">
      <w:pPr>
        <w:spacing w:after="120"/>
        <w:rPr>
          <w:rFonts w:ascii="PoynterOSDisp Roman" w:hAnsi="PoynterOSDisp Roman"/>
          <w:color w:val="202426"/>
          <w:sz w:val="40"/>
          <w:szCs w:val="40"/>
        </w:rPr>
      </w:pPr>
      <w:r>
        <w:rPr>
          <w:noProof/>
        </w:rPr>
        <w:drawing>
          <wp:anchor distT="0" distB="0" distL="114300" distR="114300" simplePos="0" relativeHeight="251661312" behindDoc="0" locked="0" layoutInCell="1" allowOverlap="1" wp14:anchorId="26080287" wp14:editId="5C307CC6">
            <wp:simplePos x="0" y="0"/>
            <wp:positionH relativeFrom="margin">
              <wp:align>center</wp:align>
            </wp:positionH>
            <wp:positionV relativeFrom="paragraph">
              <wp:posOffset>-1776074</wp:posOffset>
            </wp:positionV>
            <wp:extent cx="1261022" cy="1261022"/>
            <wp:effectExtent l="0" t="0" r="0" b="0"/>
            <wp:wrapNone/>
            <wp:docPr id="7" name="Picture 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1022" cy="1261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ynterOSDisp Roman" w:hAnsi="PoynterOSDisp Roman"/>
          <w:noProof/>
          <w:color w:val="202426"/>
          <w:sz w:val="40"/>
          <w:szCs w:val="40"/>
        </w:rPr>
        <w:drawing>
          <wp:anchor distT="0" distB="0" distL="114300" distR="114300" simplePos="0" relativeHeight="251658240" behindDoc="0" locked="0" layoutInCell="1" allowOverlap="1" wp14:anchorId="7E673A86" wp14:editId="55D97DFF">
            <wp:simplePos x="0" y="0"/>
            <wp:positionH relativeFrom="page">
              <wp:align>left</wp:align>
            </wp:positionH>
            <wp:positionV relativeFrom="paragraph">
              <wp:posOffset>-2201545</wp:posOffset>
            </wp:positionV>
            <wp:extent cx="7677806" cy="106584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6608" r="2923" b="128"/>
                    <a:stretch/>
                  </pic:blipFill>
                  <pic:spPr bwMode="auto">
                    <a:xfrm>
                      <a:off x="0" y="0"/>
                      <a:ext cx="7677806" cy="10658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A8A250" wp14:editId="324F4316">
            <wp:extent cx="1800225" cy="1800225"/>
            <wp:effectExtent l="0" t="0" r="0" b="0"/>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Pr>
          <w:noProof/>
        </w:rPr>
        <w:drawing>
          <wp:inline distT="0" distB="0" distL="0" distR="0" wp14:anchorId="61D6CAB2" wp14:editId="537E77BD">
            <wp:extent cx="1797050" cy="1797050"/>
            <wp:effectExtent l="0" t="0" r="0" b="0"/>
            <wp:docPr id="5" name="Picture 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14:paraId="093C3816" w14:textId="391D454E" w:rsidR="00983C7F" w:rsidRDefault="00983C7F" w:rsidP="003D21AE">
      <w:pPr>
        <w:spacing w:after="120"/>
        <w:rPr>
          <w:rFonts w:ascii="PoynterOSDisp Roman" w:hAnsi="PoynterOSDisp Roman"/>
          <w:color w:val="202426"/>
          <w:sz w:val="40"/>
          <w:szCs w:val="40"/>
        </w:rPr>
      </w:pPr>
    </w:p>
    <w:p w14:paraId="4ED857B6" w14:textId="372F58A7" w:rsidR="00983C7F" w:rsidRDefault="00983C7F" w:rsidP="003D21AE">
      <w:pPr>
        <w:spacing w:after="120"/>
        <w:rPr>
          <w:rFonts w:ascii="PoynterOSDisp Roman" w:hAnsi="PoynterOSDisp Roman"/>
          <w:color w:val="202426"/>
          <w:sz w:val="40"/>
          <w:szCs w:val="40"/>
        </w:rPr>
      </w:pPr>
    </w:p>
    <w:p w14:paraId="77D4CAE5" w14:textId="677F6990" w:rsidR="00983C7F" w:rsidRDefault="00983C7F" w:rsidP="003D21AE">
      <w:pPr>
        <w:spacing w:after="120"/>
        <w:rPr>
          <w:rFonts w:ascii="PoynterOSDisp Roman" w:hAnsi="PoynterOSDisp Roman"/>
          <w:color w:val="202426"/>
          <w:sz w:val="40"/>
          <w:szCs w:val="40"/>
        </w:rPr>
      </w:pPr>
    </w:p>
    <w:p w14:paraId="65DA8332" w14:textId="6A9D07AF" w:rsidR="00983C7F" w:rsidRDefault="00983C7F" w:rsidP="003D21AE">
      <w:pPr>
        <w:spacing w:after="120"/>
        <w:rPr>
          <w:rFonts w:ascii="PoynterOSDisp Roman" w:hAnsi="PoynterOSDisp Roman"/>
          <w:color w:val="202426"/>
          <w:sz w:val="40"/>
          <w:szCs w:val="40"/>
        </w:rPr>
      </w:pPr>
    </w:p>
    <w:p w14:paraId="0252424D" w14:textId="72C85A92" w:rsidR="00983C7F" w:rsidRDefault="00983C7F" w:rsidP="003D21AE">
      <w:pPr>
        <w:spacing w:after="120"/>
        <w:rPr>
          <w:rFonts w:ascii="PoynterOSDisp Roman" w:hAnsi="PoynterOSDisp Roman"/>
          <w:color w:val="202426"/>
          <w:sz w:val="40"/>
          <w:szCs w:val="40"/>
        </w:rPr>
      </w:pPr>
    </w:p>
    <w:p w14:paraId="58275E7E" w14:textId="6E15EF4F" w:rsidR="00983C7F" w:rsidRDefault="00983C7F" w:rsidP="003D21AE">
      <w:pPr>
        <w:spacing w:after="120"/>
        <w:rPr>
          <w:rFonts w:ascii="PoynterOSDisp Roman" w:hAnsi="PoynterOSDisp Roman"/>
          <w:color w:val="202426"/>
          <w:sz w:val="40"/>
          <w:szCs w:val="40"/>
        </w:rPr>
      </w:pPr>
    </w:p>
    <w:p w14:paraId="168DC0C2" w14:textId="18C486B7" w:rsidR="00983C7F" w:rsidRDefault="00983C7F" w:rsidP="003D21AE">
      <w:pPr>
        <w:spacing w:after="120"/>
        <w:rPr>
          <w:rFonts w:ascii="PoynterOSDisp Roman" w:hAnsi="PoynterOSDisp Roman"/>
          <w:color w:val="202426"/>
          <w:sz w:val="40"/>
          <w:szCs w:val="40"/>
        </w:rPr>
      </w:pPr>
    </w:p>
    <w:p w14:paraId="4C060C84" w14:textId="6E80831A" w:rsidR="00983C7F" w:rsidRDefault="00983C7F" w:rsidP="003D21AE">
      <w:pPr>
        <w:spacing w:after="120"/>
        <w:rPr>
          <w:rFonts w:ascii="PoynterOSDisp Roman" w:hAnsi="PoynterOSDisp Roman"/>
          <w:color w:val="202426"/>
          <w:sz w:val="40"/>
          <w:szCs w:val="40"/>
        </w:rPr>
      </w:pPr>
    </w:p>
    <w:p w14:paraId="68287632" w14:textId="294422A7" w:rsidR="00983C7F" w:rsidRDefault="00983C7F" w:rsidP="003D21AE">
      <w:pPr>
        <w:spacing w:after="120"/>
        <w:rPr>
          <w:rFonts w:ascii="PoynterOSDisp Roman" w:hAnsi="PoynterOSDisp Roman"/>
          <w:color w:val="202426"/>
          <w:sz w:val="40"/>
          <w:szCs w:val="40"/>
        </w:rPr>
      </w:pPr>
    </w:p>
    <w:p w14:paraId="27ED8FD4" w14:textId="400034DD" w:rsidR="00983C7F" w:rsidRDefault="00983C7F" w:rsidP="003D21AE">
      <w:pPr>
        <w:spacing w:after="120"/>
        <w:rPr>
          <w:rFonts w:ascii="PoynterOSDisp Roman" w:hAnsi="PoynterOSDisp Roman"/>
          <w:color w:val="202426"/>
          <w:sz w:val="40"/>
          <w:szCs w:val="40"/>
        </w:rPr>
      </w:pPr>
    </w:p>
    <w:p w14:paraId="05FDDB19" w14:textId="11B3E779" w:rsidR="00983C7F" w:rsidRDefault="00F976E8" w:rsidP="003D21AE">
      <w:pPr>
        <w:spacing w:after="120"/>
        <w:rPr>
          <w:rFonts w:ascii="PoynterOSDisp Roman" w:hAnsi="PoynterOSDisp Roman"/>
          <w:color w:val="202426"/>
          <w:sz w:val="40"/>
          <w:szCs w:val="40"/>
        </w:rPr>
      </w:pPr>
      <w:r w:rsidRPr="00F976E8">
        <w:rPr>
          <w:rFonts w:ascii="PoynterOSDisp Roman" w:hAnsi="PoynterOSDisp Roman"/>
          <w:noProof/>
          <w:color w:val="202426"/>
          <w:sz w:val="40"/>
          <w:szCs w:val="40"/>
        </w:rPr>
        <mc:AlternateContent>
          <mc:Choice Requires="wps">
            <w:drawing>
              <wp:anchor distT="45720" distB="45720" distL="114300" distR="114300" simplePos="0" relativeHeight="251660288" behindDoc="0" locked="0" layoutInCell="1" allowOverlap="1" wp14:anchorId="36D47163" wp14:editId="50D22B6D">
                <wp:simplePos x="0" y="0"/>
                <wp:positionH relativeFrom="page">
                  <wp:posOffset>535940</wp:posOffset>
                </wp:positionH>
                <wp:positionV relativeFrom="paragraph">
                  <wp:posOffset>495300</wp:posOffset>
                </wp:positionV>
                <wp:extent cx="5565140" cy="1404620"/>
                <wp:effectExtent l="0" t="0" r="1651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1404620"/>
                        </a:xfrm>
                        <a:prstGeom prst="rect">
                          <a:avLst/>
                        </a:prstGeom>
                        <a:noFill/>
                        <a:ln w="9525">
                          <a:solidFill>
                            <a:srgbClr val="000000"/>
                          </a:solidFill>
                          <a:miter lim="800000"/>
                          <a:headEnd/>
                          <a:tailEnd/>
                        </a:ln>
                      </wps:spPr>
                      <wps:txbx>
                        <w:txbxContent>
                          <w:p w14:paraId="6CE1037B" w14:textId="059185E7" w:rsidR="00F976E8" w:rsidRPr="00382EEF" w:rsidRDefault="00F81C03" w:rsidP="00F976E8">
                            <w:pPr>
                              <w:spacing w:after="0"/>
                              <w:rPr>
                                <w:rFonts w:ascii="Roboto Medium" w:hAnsi="Roboto Medium"/>
                                <w:color w:val="EB2E3D"/>
                                <w:sz w:val="52"/>
                                <w:szCs w:val="52"/>
                              </w:rPr>
                            </w:pPr>
                            <w:r>
                              <w:rPr>
                                <w:rFonts w:ascii="Roboto Medium" w:hAnsi="Roboto Medium"/>
                                <w:color w:val="EB2E3D"/>
                                <w:sz w:val="52"/>
                                <w:szCs w:val="52"/>
                              </w:rPr>
                              <w:t>WINNER</w:t>
                            </w:r>
                          </w:p>
                          <w:p w14:paraId="58450B9E" w14:textId="1BFA5902" w:rsidR="00F976E8" w:rsidRPr="00F976E8" w:rsidRDefault="00F976E8" w:rsidP="00F976E8">
                            <w:pPr>
                              <w:spacing w:after="0" w:line="1000" w:lineRule="exact"/>
                              <w:rPr>
                                <w:rFonts w:ascii="PoynterOSDisp Roman" w:hAnsi="PoynterOSDisp Roman"/>
                                <w:color w:val="FFFFFF" w:themeColor="background1"/>
                                <w:sz w:val="104"/>
                                <w:szCs w:val="104"/>
                              </w:rPr>
                            </w:pPr>
                            <w:r w:rsidRPr="00F976E8">
                              <w:rPr>
                                <w:rFonts w:ascii="PoynterOSDisp Roman" w:hAnsi="PoynterOSDisp Roman"/>
                                <w:color w:val="FFFFFF" w:themeColor="background1"/>
                                <w:sz w:val="104"/>
                                <w:szCs w:val="104"/>
                              </w:rPr>
                              <w:t xml:space="preserve">OHE Innovation </w:t>
                            </w:r>
                            <w:r w:rsidRPr="00F976E8">
                              <w:rPr>
                                <w:rFonts w:ascii="PoynterOSDisp Roman" w:hAnsi="PoynterOSDisp Roman"/>
                                <w:color w:val="FFFFFF" w:themeColor="background1"/>
                                <w:sz w:val="104"/>
                                <w:szCs w:val="104"/>
                              </w:rPr>
                              <w:br/>
                              <w:t>Policy Prize</w:t>
                            </w:r>
                            <w:r>
                              <w:rPr>
                                <w:rFonts w:ascii="PoynterOSDisp Roman" w:hAnsi="PoynterOSDisp Roman"/>
                                <w:color w:val="FFFFFF" w:themeColor="background1"/>
                                <w:sz w:val="104"/>
                                <w:szCs w:val="10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47163" id="_x0000_t202" coordsize="21600,21600" o:spt="202" path="m,l,21600r21600,l21600,xe">
                <v:stroke joinstyle="miter"/>
                <v:path gradientshapeok="t" o:connecttype="rect"/>
              </v:shapetype>
              <v:shape id="Text Box 2" o:spid="_x0000_s1026" type="#_x0000_t202" style="position:absolute;margin-left:42.2pt;margin-top:39pt;width:438.2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" filled="f">
                <v:textbox style="mso-fit-shape-to-text:t">
                  <w:txbxContent>
                    <w:p w14:paraId="6CE1037B" w14:textId="059185E7" w:rsidR="00F976E8" w:rsidRPr="00382EEF" w:rsidRDefault="00F81C03" w:rsidP="00F976E8">
                      <w:pPr>
                        <w:spacing w:after="0"/>
                        <w:rPr>
                          <w:rFonts w:ascii="Roboto Medium" w:hAnsi="Roboto Medium"/>
                          <w:color w:val="EB2E3D"/>
                          <w:sz w:val="52"/>
                          <w:szCs w:val="52"/>
                        </w:rPr>
                      </w:pPr>
                      <w:r>
                        <w:rPr>
                          <w:rFonts w:ascii="Roboto Medium" w:hAnsi="Roboto Medium"/>
                          <w:color w:val="EB2E3D"/>
                          <w:sz w:val="52"/>
                          <w:szCs w:val="52"/>
                        </w:rPr>
                        <w:t>WINNER</w:t>
                      </w:r>
                    </w:p>
                    <w:p w14:paraId="58450B9E" w14:textId="1BFA5902" w:rsidR="00F976E8" w:rsidRPr="00F976E8" w:rsidRDefault="00F976E8" w:rsidP="00F976E8">
                      <w:pPr>
                        <w:spacing w:after="0" w:line="1000" w:lineRule="exact"/>
                        <w:rPr>
                          <w:rFonts w:ascii="PoynterOSDisp Roman" w:hAnsi="PoynterOSDisp Roman"/>
                          <w:color w:val="FFFFFF" w:themeColor="background1"/>
                          <w:sz w:val="104"/>
                          <w:szCs w:val="104"/>
                        </w:rPr>
                      </w:pPr>
                      <w:r w:rsidRPr="00F976E8">
                        <w:rPr>
                          <w:rFonts w:ascii="PoynterOSDisp Roman" w:hAnsi="PoynterOSDisp Roman"/>
                          <w:color w:val="FFFFFF" w:themeColor="background1"/>
                          <w:sz w:val="104"/>
                          <w:szCs w:val="104"/>
                        </w:rPr>
                        <w:t xml:space="preserve">OHE Innovation </w:t>
                      </w:r>
                      <w:r w:rsidRPr="00F976E8">
                        <w:rPr>
                          <w:rFonts w:ascii="PoynterOSDisp Roman" w:hAnsi="PoynterOSDisp Roman"/>
                          <w:color w:val="FFFFFF" w:themeColor="background1"/>
                          <w:sz w:val="104"/>
                          <w:szCs w:val="104"/>
                        </w:rPr>
                        <w:br/>
                        <w:t>Policy Prize</w:t>
                      </w:r>
                      <w:r>
                        <w:rPr>
                          <w:rFonts w:ascii="PoynterOSDisp Roman" w:hAnsi="PoynterOSDisp Roman"/>
                          <w:color w:val="FFFFFF" w:themeColor="background1"/>
                          <w:sz w:val="104"/>
                          <w:szCs w:val="104"/>
                        </w:rPr>
                        <w:t xml:space="preserve"> 2022</w:t>
                      </w:r>
                    </w:p>
                  </w:txbxContent>
                </v:textbox>
                <w10:wrap anchorx="page"/>
              </v:shape>
            </w:pict>
          </mc:Fallback>
        </mc:AlternateContent>
      </w:r>
    </w:p>
    <w:p w14:paraId="6518DBD8" w14:textId="1D70F6AC" w:rsidR="00983C7F" w:rsidRDefault="00983C7F" w:rsidP="003D21AE">
      <w:pPr>
        <w:spacing w:after="120"/>
        <w:rPr>
          <w:rFonts w:ascii="PoynterOSDisp Roman" w:hAnsi="PoynterOSDisp Roman"/>
          <w:color w:val="202426"/>
          <w:sz w:val="40"/>
          <w:szCs w:val="40"/>
        </w:rPr>
      </w:pPr>
    </w:p>
    <w:p w14:paraId="5202DC9C" w14:textId="3C8AF051" w:rsidR="00983C7F" w:rsidRDefault="00983C7F" w:rsidP="003D21AE">
      <w:pPr>
        <w:spacing w:after="120"/>
        <w:rPr>
          <w:rFonts w:ascii="PoynterOSDisp Roman" w:hAnsi="PoynterOSDisp Roman"/>
          <w:color w:val="202426"/>
          <w:sz w:val="40"/>
          <w:szCs w:val="40"/>
        </w:rPr>
      </w:pPr>
    </w:p>
    <w:p w14:paraId="4F16F94A" w14:textId="77777777" w:rsidR="00983C7F" w:rsidRDefault="00983C7F" w:rsidP="003D21AE">
      <w:pPr>
        <w:spacing w:after="120"/>
        <w:rPr>
          <w:rFonts w:ascii="PoynterOSDisp Roman" w:hAnsi="PoynterOSDisp Roman"/>
          <w:color w:val="202426"/>
          <w:sz w:val="40"/>
          <w:szCs w:val="40"/>
        </w:rPr>
      </w:pPr>
    </w:p>
    <w:p w14:paraId="2674FDDE" w14:textId="30EF9D44" w:rsidR="00785D4B" w:rsidRPr="00382EEF" w:rsidRDefault="003D21AE" w:rsidP="003D21AE">
      <w:pPr>
        <w:spacing w:after="120"/>
        <w:rPr>
          <w:rFonts w:ascii="PoynterOSDisp Roman" w:hAnsi="PoynterOSDisp Roman"/>
          <w:color w:val="EB2E3D"/>
          <w:sz w:val="40"/>
          <w:szCs w:val="40"/>
        </w:rPr>
      </w:pPr>
      <w:r w:rsidRPr="00382EEF">
        <w:rPr>
          <w:rFonts w:ascii="PoynterOSDisp Roman" w:hAnsi="PoynterOSDisp Roman"/>
          <w:color w:val="EB2E3D"/>
          <w:sz w:val="40"/>
          <w:szCs w:val="40"/>
        </w:rPr>
        <w:lastRenderedPageBreak/>
        <w:t>Optional delinked reward system (ODRS)</w:t>
      </w:r>
    </w:p>
    <w:p w14:paraId="4BC459DA" w14:textId="77777777" w:rsidR="003D21AE" w:rsidRPr="003D21AE" w:rsidRDefault="003D21AE" w:rsidP="003D21AE">
      <w:pPr>
        <w:spacing w:after="0"/>
        <w:rPr>
          <w:rFonts w:ascii="Roboto Medium" w:hAnsi="Roboto Medium" w:cs="Arial"/>
          <w:color w:val="202426"/>
          <w:sz w:val="24"/>
          <w:szCs w:val="24"/>
        </w:rPr>
      </w:pPr>
      <w:r w:rsidRPr="003D21AE">
        <w:rPr>
          <w:rFonts w:ascii="Roboto Medium" w:hAnsi="Roboto Medium" w:cs="Arial"/>
          <w:color w:val="202426"/>
          <w:sz w:val="24"/>
          <w:szCs w:val="24"/>
        </w:rPr>
        <w:t>Professor Aiden Hollis</w:t>
      </w:r>
    </w:p>
    <w:p w14:paraId="46B7E546" w14:textId="77777777" w:rsidR="003D21AE" w:rsidRPr="003D21AE" w:rsidRDefault="003D21AE" w:rsidP="003D21AE">
      <w:pPr>
        <w:spacing w:after="0"/>
        <w:rPr>
          <w:rFonts w:ascii="Roboto" w:hAnsi="Roboto" w:cs="Arial"/>
          <w:color w:val="202426"/>
          <w:sz w:val="24"/>
          <w:szCs w:val="24"/>
        </w:rPr>
      </w:pPr>
      <w:r w:rsidRPr="003D21AE">
        <w:rPr>
          <w:rFonts w:ascii="Roboto" w:hAnsi="Roboto" w:cs="Arial"/>
          <w:color w:val="202426"/>
          <w:sz w:val="24"/>
          <w:szCs w:val="24"/>
        </w:rPr>
        <w:t>Professor of Economics</w:t>
      </w:r>
    </w:p>
    <w:p w14:paraId="795DD27C" w14:textId="2608C26F" w:rsidR="003D21AE" w:rsidRDefault="003D21AE" w:rsidP="003D21AE">
      <w:pPr>
        <w:rPr>
          <w:rFonts w:ascii="Roboto Light" w:hAnsi="Roboto Light" w:cs="Arial"/>
          <w:color w:val="202426"/>
          <w:sz w:val="24"/>
          <w:szCs w:val="24"/>
        </w:rPr>
      </w:pPr>
      <w:r w:rsidRPr="003D21AE">
        <w:rPr>
          <w:rFonts w:ascii="Roboto Light" w:hAnsi="Roboto Light" w:cs="Arial"/>
          <w:color w:val="202426"/>
          <w:sz w:val="24"/>
          <w:szCs w:val="24"/>
        </w:rPr>
        <w:t>University of Calgary, Canada</w:t>
      </w:r>
    </w:p>
    <w:p w14:paraId="3917DB90" w14:textId="71CBFE94" w:rsidR="00F81C03" w:rsidRPr="00F81C03" w:rsidRDefault="00F81C03" w:rsidP="003D21AE">
      <w:pPr>
        <w:rPr>
          <w:rFonts w:ascii="Roboto Light" w:hAnsi="Roboto Light" w:cs="Arial"/>
          <w:i/>
          <w:iCs/>
          <w:color w:val="FF0000"/>
          <w:sz w:val="24"/>
          <w:szCs w:val="24"/>
        </w:rPr>
      </w:pPr>
      <w:r w:rsidRPr="00F81C03">
        <w:rPr>
          <w:rFonts w:ascii="Roboto Light" w:hAnsi="Roboto Light" w:cs="Arial"/>
          <w:i/>
          <w:iCs/>
          <w:color w:val="FF0000"/>
          <w:sz w:val="24"/>
          <w:szCs w:val="24"/>
        </w:rPr>
        <w:t>[INSERT OHE DISCLAIMER]</w:t>
      </w:r>
    </w:p>
    <w:p w14:paraId="6A12FEAA" w14:textId="75C0A26F" w:rsidR="00F81C03" w:rsidRDefault="00F81C03" w:rsidP="003D21AE">
      <w:pPr>
        <w:rPr>
          <w:rFonts w:ascii="Roboto Light" w:hAnsi="Roboto Light" w:cs="Arial"/>
          <w:color w:val="202426"/>
          <w:sz w:val="24"/>
          <w:szCs w:val="24"/>
        </w:rPr>
      </w:pPr>
    </w:p>
    <w:p w14:paraId="7A2484FD" w14:textId="660EEA19" w:rsidR="00F81C03" w:rsidRDefault="00F81C03" w:rsidP="003D21AE">
      <w:pPr>
        <w:rPr>
          <w:rFonts w:ascii="Roboto Light" w:hAnsi="Roboto Light" w:cs="Arial"/>
          <w:color w:val="202426"/>
          <w:sz w:val="24"/>
          <w:szCs w:val="24"/>
        </w:rPr>
      </w:pPr>
    </w:p>
    <w:p w14:paraId="6537BB96" w14:textId="26246906" w:rsidR="00F81C03" w:rsidRDefault="00F81C03" w:rsidP="003D21AE">
      <w:pPr>
        <w:rPr>
          <w:rFonts w:ascii="Roboto Light" w:hAnsi="Roboto Light" w:cs="Arial"/>
          <w:color w:val="202426"/>
          <w:sz w:val="24"/>
          <w:szCs w:val="24"/>
        </w:rPr>
      </w:pPr>
    </w:p>
    <w:p w14:paraId="5DDDC480" w14:textId="1FC83A9E" w:rsidR="00F81C03" w:rsidRDefault="00F81C03" w:rsidP="003D21AE">
      <w:pPr>
        <w:rPr>
          <w:rFonts w:ascii="Roboto Light" w:hAnsi="Roboto Light" w:cs="Arial"/>
          <w:color w:val="202426"/>
          <w:sz w:val="24"/>
          <w:szCs w:val="24"/>
        </w:rPr>
      </w:pPr>
    </w:p>
    <w:p w14:paraId="5F7D8A40" w14:textId="6E2DA4B2" w:rsidR="00F81C03" w:rsidRDefault="00F81C03" w:rsidP="003D21AE">
      <w:pPr>
        <w:rPr>
          <w:rFonts w:ascii="Roboto Light" w:hAnsi="Roboto Light" w:cs="Arial"/>
          <w:color w:val="202426"/>
          <w:sz w:val="24"/>
          <w:szCs w:val="24"/>
        </w:rPr>
      </w:pPr>
    </w:p>
    <w:p w14:paraId="68142CA2" w14:textId="69013950" w:rsidR="00F81C03" w:rsidRDefault="00F81C03" w:rsidP="003D21AE">
      <w:pPr>
        <w:rPr>
          <w:rFonts w:ascii="Roboto Light" w:hAnsi="Roboto Light" w:cs="Arial"/>
          <w:color w:val="202426"/>
          <w:sz w:val="24"/>
          <w:szCs w:val="24"/>
        </w:rPr>
      </w:pPr>
    </w:p>
    <w:p w14:paraId="6F009291" w14:textId="0403C315" w:rsidR="00F81C03" w:rsidRDefault="00F81C03" w:rsidP="003D21AE">
      <w:pPr>
        <w:rPr>
          <w:rFonts w:ascii="Roboto Light" w:hAnsi="Roboto Light" w:cs="Arial"/>
          <w:color w:val="202426"/>
          <w:sz w:val="24"/>
          <w:szCs w:val="24"/>
        </w:rPr>
      </w:pPr>
    </w:p>
    <w:p w14:paraId="1F5FC097" w14:textId="376C3108" w:rsidR="00F81C03" w:rsidRDefault="00F81C03" w:rsidP="003D21AE">
      <w:pPr>
        <w:rPr>
          <w:rFonts w:ascii="Roboto Light" w:hAnsi="Roboto Light" w:cs="Arial"/>
          <w:color w:val="202426"/>
          <w:sz w:val="24"/>
          <w:szCs w:val="24"/>
        </w:rPr>
      </w:pPr>
    </w:p>
    <w:p w14:paraId="4CA1C105" w14:textId="7476B0BC" w:rsidR="00F81C03" w:rsidRDefault="00F81C03" w:rsidP="003D21AE">
      <w:pPr>
        <w:rPr>
          <w:rFonts w:ascii="Roboto Light" w:hAnsi="Roboto Light" w:cs="Arial"/>
          <w:color w:val="202426"/>
          <w:sz w:val="24"/>
          <w:szCs w:val="24"/>
        </w:rPr>
      </w:pPr>
    </w:p>
    <w:p w14:paraId="086706EC" w14:textId="7381517D" w:rsidR="00F81C03" w:rsidRDefault="00F81C03" w:rsidP="003D21AE">
      <w:pPr>
        <w:rPr>
          <w:rFonts w:ascii="Roboto Light" w:hAnsi="Roboto Light" w:cs="Arial"/>
          <w:color w:val="202426"/>
          <w:sz w:val="24"/>
          <w:szCs w:val="24"/>
        </w:rPr>
      </w:pPr>
    </w:p>
    <w:p w14:paraId="43202CBC" w14:textId="39F26103" w:rsidR="00F81C03" w:rsidRDefault="00F81C03" w:rsidP="003D21AE">
      <w:pPr>
        <w:rPr>
          <w:rFonts w:ascii="Roboto Light" w:hAnsi="Roboto Light" w:cs="Arial"/>
          <w:color w:val="202426"/>
          <w:sz w:val="24"/>
          <w:szCs w:val="24"/>
        </w:rPr>
      </w:pPr>
    </w:p>
    <w:p w14:paraId="228083A3" w14:textId="3746CBFF" w:rsidR="00F81C03" w:rsidRDefault="00F81C03" w:rsidP="003D21AE">
      <w:pPr>
        <w:rPr>
          <w:rFonts w:ascii="Roboto Light" w:hAnsi="Roboto Light" w:cs="Arial"/>
          <w:color w:val="202426"/>
          <w:sz w:val="24"/>
          <w:szCs w:val="24"/>
        </w:rPr>
      </w:pPr>
    </w:p>
    <w:p w14:paraId="320CCFED" w14:textId="30918C38" w:rsidR="00F81C03" w:rsidRDefault="00F81C03" w:rsidP="003D21AE">
      <w:pPr>
        <w:rPr>
          <w:rFonts w:ascii="Roboto Light" w:hAnsi="Roboto Light" w:cs="Arial"/>
          <w:color w:val="202426"/>
          <w:sz w:val="24"/>
          <w:szCs w:val="24"/>
        </w:rPr>
      </w:pPr>
    </w:p>
    <w:p w14:paraId="5ABD0101" w14:textId="1FDC7A34" w:rsidR="00F81C03" w:rsidRDefault="00F81C03" w:rsidP="003D21AE">
      <w:pPr>
        <w:rPr>
          <w:rFonts w:ascii="Roboto Light" w:hAnsi="Roboto Light" w:cs="Arial"/>
          <w:color w:val="202426"/>
          <w:sz w:val="24"/>
          <w:szCs w:val="24"/>
        </w:rPr>
      </w:pPr>
    </w:p>
    <w:p w14:paraId="6848D383" w14:textId="4CE73263" w:rsidR="00F81C03" w:rsidRDefault="00F81C03" w:rsidP="003D21AE">
      <w:pPr>
        <w:rPr>
          <w:rFonts w:ascii="Roboto Light" w:hAnsi="Roboto Light" w:cs="Arial"/>
          <w:color w:val="202426"/>
          <w:sz w:val="24"/>
          <w:szCs w:val="24"/>
        </w:rPr>
      </w:pPr>
    </w:p>
    <w:p w14:paraId="5C84EC16" w14:textId="7261E5F3" w:rsidR="00F81C03" w:rsidRDefault="00F81C03" w:rsidP="003D21AE">
      <w:pPr>
        <w:rPr>
          <w:rFonts w:ascii="Roboto Light" w:hAnsi="Roboto Light" w:cs="Arial"/>
          <w:color w:val="202426"/>
          <w:sz w:val="24"/>
          <w:szCs w:val="24"/>
        </w:rPr>
      </w:pPr>
    </w:p>
    <w:p w14:paraId="30BF92F0" w14:textId="4074DE2C" w:rsidR="00F81C03" w:rsidRDefault="00F81C03" w:rsidP="003D21AE">
      <w:pPr>
        <w:rPr>
          <w:rFonts w:ascii="Roboto Light" w:hAnsi="Roboto Light" w:cs="Arial"/>
          <w:color w:val="202426"/>
          <w:sz w:val="24"/>
          <w:szCs w:val="24"/>
        </w:rPr>
      </w:pPr>
    </w:p>
    <w:p w14:paraId="5E7C27C8" w14:textId="5C0F0FC7" w:rsidR="00F81C03" w:rsidRDefault="00F81C03" w:rsidP="003D21AE">
      <w:pPr>
        <w:rPr>
          <w:rFonts w:ascii="Roboto Light" w:hAnsi="Roboto Light" w:cs="Arial"/>
          <w:color w:val="202426"/>
          <w:sz w:val="24"/>
          <w:szCs w:val="24"/>
        </w:rPr>
      </w:pPr>
    </w:p>
    <w:p w14:paraId="48DD2341" w14:textId="669E45E9" w:rsidR="00F81C03" w:rsidRDefault="00F81C03" w:rsidP="003D21AE">
      <w:pPr>
        <w:rPr>
          <w:rFonts w:ascii="Roboto Light" w:hAnsi="Roboto Light" w:cs="Arial"/>
          <w:color w:val="202426"/>
          <w:sz w:val="24"/>
          <w:szCs w:val="24"/>
        </w:rPr>
      </w:pPr>
    </w:p>
    <w:p w14:paraId="60ECD88E" w14:textId="77777777" w:rsidR="00F81C03" w:rsidRPr="003D21AE" w:rsidRDefault="00F81C03" w:rsidP="003D21AE">
      <w:pPr>
        <w:rPr>
          <w:rFonts w:ascii="Roboto Light" w:hAnsi="Roboto Light" w:cs="Arial"/>
          <w:color w:val="202426"/>
          <w:sz w:val="24"/>
          <w:szCs w:val="24"/>
        </w:rPr>
      </w:pPr>
    </w:p>
    <w:p w14:paraId="6811BD7A" w14:textId="2787A9C3" w:rsidR="00FF2D59" w:rsidRPr="00382EEF" w:rsidRDefault="00FF2D59" w:rsidP="006A4D4F">
      <w:pPr>
        <w:pStyle w:val="Heading1"/>
        <w:spacing w:before="400" w:after="60"/>
        <w:rPr>
          <w:rFonts w:ascii="Roboto" w:hAnsi="Roboto"/>
          <w:b w:val="0"/>
          <w:bCs w:val="0"/>
          <w:color w:val="EB2E3D"/>
          <w:sz w:val="26"/>
          <w:szCs w:val="26"/>
          <w:u w:val="none"/>
        </w:rPr>
      </w:pPr>
      <w:r w:rsidRPr="00382EEF">
        <w:rPr>
          <w:rFonts w:ascii="Roboto" w:hAnsi="Roboto"/>
          <w:b w:val="0"/>
          <w:bCs w:val="0"/>
          <w:color w:val="EB2E3D"/>
          <w:sz w:val="26"/>
          <w:szCs w:val="26"/>
          <w:u w:val="none"/>
        </w:rPr>
        <w:lastRenderedPageBreak/>
        <w:t>1.</w:t>
      </w:r>
      <w:r w:rsidR="006A4D4F" w:rsidRPr="00382EEF">
        <w:rPr>
          <w:rFonts w:ascii="Roboto" w:hAnsi="Roboto"/>
          <w:b w:val="0"/>
          <w:bCs w:val="0"/>
          <w:color w:val="EB2E3D"/>
          <w:sz w:val="26"/>
          <w:szCs w:val="26"/>
          <w:u w:val="none"/>
        </w:rPr>
        <w:t xml:space="preserve"> INTRODUCTION</w:t>
      </w:r>
    </w:p>
    <w:p w14:paraId="65DA356F" w14:textId="2B589A01" w:rsidR="00E77622" w:rsidRPr="006A4D4F" w:rsidRDefault="00E77622" w:rsidP="00FF2D59">
      <w:pPr>
        <w:rPr>
          <w:rFonts w:ascii="Roboto Light" w:hAnsi="Roboto Light" w:cs="Arial"/>
          <w:color w:val="202426"/>
          <w:sz w:val="21"/>
          <w:szCs w:val="21"/>
        </w:rPr>
      </w:pPr>
      <w:r w:rsidRPr="006A4D4F">
        <w:rPr>
          <w:rFonts w:ascii="Roboto Light" w:hAnsi="Roboto Light" w:cs="Arial"/>
          <w:color w:val="202426"/>
          <w:sz w:val="21"/>
          <w:szCs w:val="21"/>
        </w:rPr>
        <w:t xml:space="preserve">A “fair” price for new pharmaceutical products must meet three objectives: (1) it must be “fair” as between buyer and seller, ensuring especially that poor buyers can </w:t>
      </w:r>
      <w:r w:rsidR="00A06314" w:rsidRPr="006A4D4F">
        <w:rPr>
          <w:rFonts w:ascii="Roboto Light" w:hAnsi="Roboto Light" w:cs="Arial"/>
          <w:color w:val="202426"/>
          <w:sz w:val="21"/>
          <w:szCs w:val="21"/>
        </w:rPr>
        <w:t xml:space="preserve">afford to </w:t>
      </w:r>
      <w:r w:rsidRPr="006A4D4F">
        <w:rPr>
          <w:rFonts w:ascii="Roboto Light" w:hAnsi="Roboto Light" w:cs="Arial"/>
          <w:color w:val="202426"/>
          <w:sz w:val="21"/>
          <w:szCs w:val="21"/>
        </w:rPr>
        <w:t>meet their health needs</w:t>
      </w:r>
      <w:r w:rsidR="00422E82" w:rsidRPr="006A4D4F">
        <w:rPr>
          <w:rFonts w:ascii="Roboto Light" w:hAnsi="Roboto Light" w:cs="Arial"/>
          <w:color w:val="202426"/>
          <w:sz w:val="21"/>
          <w:szCs w:val="21"/>
        </w:rPr>
        <w:t xml:space="preserve"> while firms</w:t>
      </w:r>
      <w:r w:rsidR="0019741E" w:rsidRPr="006A4D4F">
        <w:rPr>
          <w:rFonts w:ascii="Roboto Light" w:hAnsi="Roboto Light" w:cs="Arial"/>
          <w:color w:val="202426"/>
          <w:sz w:val="21"/>
          <w:szCs w:val="21"/>
        </w:rPr>
        <w:t>’ investments</w:t>
      </w:r>
      <w:r w:rsidR="00422E82" w:rsidRPr="006A4D4F">
        <w:rPr>
          <w:rFonts w:ascii="Roboto Light" w:hAnsi="Roboto Light" w:cs="Arial"/>
          <w:color w:val="202426"/>
          <w:sz w:val="21"/>
          <w:szCs w:val="21"/>
        </w:rPr>
        <w:t xml:space="preserve"> are </w:t>
      </w:r>
      <w:r w:rsidR="0019741E" w:rsidRPr="006A4D4F">
        <w:rPr>
          <w:rFonts w:ascii="Roboto Light" w:hAnsi="Roboto Light" w:cs="Arial"/>
          <w:color w:val="202426"/>
          <w:sz w:val="21"/>
          <w:szCs w:val="21"/>
        </w:rPr>
        <w:t>rewarded appropriately</w:t>
      </w:r>
      <w:r w:rsidRPr="006A4D4F">
        <w:rPr>
          <w:rFonts w:ascii="Roboto Light" w:hAnsi="Roboto Light" w:cs="Arial"/>
          <w:color w:val="202426"/>
          <w:sz w:val="21"/>
          <w:szCs w:val="21"/>
        </w:rPr>
        <w:t>; (2) it must be “fair” as between different sellers, ensuring that the rules for what will be rewarded are clear and not arbitrarily enforced; and (3) it must be “fair” as between countries, so that each makes an appropriate contribution to support the global investment in innovation.</w:t>
      </w:r>
    </w:p>
    <w:p w14:paraId="6A1284B4" w14:textId="1F08860F" w:rsidR="00E77622" w:rsidRPr="006A4D4F" w:rsidRDefault="00D42661" w:rsidP="00FF2D59">
      <w:pPr>
        <w:rPr>
          <w:rFonts w:ascii="Roboto Light" w:hAnsi="Roboto Light" w:cs="Arial"/>
          <w:color w:val="202426"/>
          <w:sz w:val="21"/>
          <w:szCs w:val="21"/>
        </w:rPr>
      </w:pPr>
      <w:r w:rsidRPr="006A4D4F">
        <w:rPr>
          <w:rFonts w:ascii="Roboto Light" w:hAnsi="Roboto Light" w:cs="Arial"/>
          <w:color w:val="202426"/>
          <w:sz w:val="21"/>
          <w:szCs w:val="21"/>
        </w:rPr>
        <w:t>The</w:t>
      </w:r>
      <w:r w:rsidR="00E77622" w:rsidRPr="006A4D4F">
        <w:rPr>
          <w:rFonts w:ascii="Roboto Light" w:hAnsi="Roboto Light" w:cs="Arial"/>
          <w:color w:val="202426"/>
          <w:sz w:val="21"/>
          <w:szCs w:val="21"/>
        </w:rPr>
        <w:t xml:space="preserve"> current systems of pricing pharmaceuticals fail on all three counts. With respect to the first, there is a constant struggle to ensure that prices do not create an insuperable obstacle to access, given that buyers have very different financial capacities. A price that is no barrier to access to </w:t>
      </w:r>
      <w:r w:rsidRPr="006A4D4F">
        <w:rPr>
          <w:rFonts w:ascii="Roboto Light" w:hAnsi="Roboto Light" w:cs="Arial"/>
          <w:color w:val="202426"/>
          <w:sz w:val="21"/>
          <w:szCs w:val="21"/>
        </w:rPr>
        <w:t xml:space="preserve">an insured patient in France may be unaffordable for </w:t>
      </w:r>
      <w:r w:rsidR="00A06314" w:rsidRPr="006A4D4F">
        <w:rPr>
          <w:rFonts w:ascii="Roboto Light" w:hAnsi="Roboto Light" w:cs="Arial"/>
          <w:color w:val="202426"/>
          <w:sz w:val="21"/>
          <w:szCs w:val="21"/>
        </w:rPr>
        <w:t xml:space="preserve">patients (and </w:t>
      </w:r>
      <w:r w:rsidRPr="006A4D4F">
        <w:rPr>
          <w:rFonts w:ascii="Roboto Light" w:hAnsi="Roboto Light" w:cs="Arial"/>
          <w:color w:val="202426"/>
          <w:sz w:val="21"/>
          <w:szCs w:val="21"/>
        </w:rPr>
        <w:t>insurers</w:t>
      </w:r>
      <w:r w:rsidR="00A06314" w:rsidRPr="006A4D4F">
        <w:rPr>
          <w:rFonts w:ascii="Roboto Light" w:hAnsi="Roboto Light" w:cs="Arial"/>
          <w:color w:val="202426"/>
          <w:sz w:val="21"/>
          <w:szCs w:val="21"/>
        </w:rPr>
        <w:t>)</w:t>
      </w:r>
      <w:r w:rsidRPr="006A4D4F">
        <w:rPr>
          <w:rFonts w:ascii="Roboto Light" w:hAnsi="Roboto Light" w:cs="Arial"/>
          <w:color w:val="202426"/>
          <w:sz w:val="21"/>
          <w:szCs w:val="21"/>
        </w:rPr>
        <w:t xml:space="preserve"> in Bulgaria. </w:t>
      </w:r>
      <w:r w:rsidR="0019741E" w:rsidRPr="006A4D4F">
        <w:rPr>
          <w:rFonts w:ascii="Roboto Light" w:hAnsi="Roboto Light" w:cs="Arial"/>
          <w:color w:val="202426"/>
          <w:sz w:val="21"/>
          <w:szCs w:val="21"/>
        </w:rPr>
        <w:t>H</w:t>
      </w:r>
      <w:r w:rsidRPr="006A4D4F">
        <w:rPr>
          <w:rFonts w:ascii="Roboto Light" w:hAnsi="Roboto Light" w:cs="Arial"/>
          <w:color w:val="202426"/>
          <w:sz w:val="21"/>
          <w:szCs w:val="21"/>
        </w:rPr>
        <w:t xml:space="preserve">igh prices often inhibit access </w:t>
      </w:r>
      <w:r w:rsidR="0019741E" w:rsidRPr="006A4D4F">
        <w:rPr>
          <w:rFonts w:ascii="Roboto Light" w:hAnsi="Roboto Light" w:cs="Arial"/>
          <w:color w:val="202426"/>
          <w:sz w:val="21"/>
          <w:szCs w:val="21"/>
        </w:rPr>
        <w:t xml:space="preserve">to drugs for rare diseases </w:t>
      </w:r>
      <w:r w:rsidRPr="006A4D4F">
        <w:rPr>
          <w:rFonts w:ascii="Roboto Light" w:hAnsi="Roboto Light" w:cs="Arial"/>
          <w:color w:val="202426"/>
          <w:sz w:val="21"/>
          <w:szCs w:val="21"/>
        </w:rPr>
        <w:t xml:space="preserve">even in wealthy countries. </w:t>
      </w:r>
      <w:r w:rsidR="0019741E" w:rsidRPr="006A4D4F">
        <w:rPr>
          <w:rFonts w:ascii="Roboto Light" w:hAnsi="Roboto Light" w:cs="Arial"/>
          <w:color w:val="202426"/>
          <w:sz w:val="21"/>
          <w:szCs w:val="21"/>
        </w:rPr>
        <w:t xml:space="preserve">At the same time, firms often feel that their investments are inadequately compensated. </w:t>
      </w:r>
      <w:r w:rsidRPr="006A4D4F">
        <w:rPr>
          <w:rFonts w:ascii="Roboto Light" w:hAnsi="Roboto Light" w:cs="Arial"/>
          <w:color w:val="202426"/>
          <w:sz w:val="21"/>
          <w:szCs w:val="21"/>
        </w:rPr>
        <w:t>With respect to achieving fairness between different sellers, the current system also fails. The problem is that in most countries, confidential price negotiations</w:t>
      </w:r>
      <w:r w:rsidR="00A06314" w:rsidRPr="006A4D4F">
        <w:rPr>
          <w:rFonts w:ascii="Roboto Light" w:hAnsi="Roboto Light" w:cs="Arial"/>
          <w:color w:val="202426"/>
          <w:sz w:val="21"/>
          <w:szCs w:val="21"/>
        </w:rPr>
        <w:t xml:space="preserve"> and an absence of transparency</w:t>
      </w:r>
      <w:r w:rsidRPr="006A4D4F">
        <w:rPr>
          <w:rFonts w:ascii="Roboto Light" w:hAnsi="Roboto Light" w:cs="Arial"/>
          <w:color w:val="202426"/>
          <w:sz w:val="21"/>
          <w:szCs w:val="21"/>
        </w:rPr>
        <w:t xml:space="preserve"> allow insurers to exploit their pricing power, with small companies being particularly disadvantaged on account of less information and less bargaining power. And with respect to achieving fairness between countries, it is clear that countries contribute towards investment in innovation at very different rates: just within the OECD there are wide variations in the share of GDP spent on pharmaceuticals, ranging from 0.6% to 2.9%.</w:t>
      </w:r>
      <w:r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{"citationItems":[{"id":"ITEM-1","itemData":{"author":[{"dropping-particle":"","family":"OECD","given":"","non-dropping-particle":"","parse-names":false,"suffix":""}],"id":"ITEM-1","issued":{"date-parts":[["2022"]]},"title":"Pharmaceutical spending (indicator)","type":"article"},"uris":["http://www.mendeley.com/documents/?uuid=dacd31ad-3c31-4938-8e80-22b605a57854"]}],"mendeley":{"formattedCitation":"(1)","plainTextFormattedCitation":"(1)","previouslyFormattedCitation":"(1)"},"properties":{"noteIndex":0},"schema":"https://github.com/citation-style-language/schema/raw/master/csl-citation.json"}</w:instrText>
      </w:r>
      <w:r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w:t>
      </w:r>
      <w:r w:rsidRPr="006A4D4F">
        <w:rPr>
          <w:rFonts w:ascii="Roboto Light" w:hAnsi="Roboto Light" w:cs="Arial"/>
          <w:color w:val="202426"/>
          <w:sz w:val="21"/>
          <w:szCs w:val="21"/>
        </w:rPr>
        <w:fldChar w:fldCharType="end"/>
      </w:r>
    </w:p>
    <w:p w14:paraId="58AE9A13" w14:textId="25F7712A" w:rsidR="00D42661" w:rsidRPr="006A4D4F" w:rsidRDefault="00D42661" w:rsidP="00FF2D59">
      <w:pPr>
        <w:rPr>
          <w:rFonts w:ascii="Roboto Light" w:hAnsi="Roboto Light" w:cs="Arial"/>
          <w:color w:val="202426"/>
          <w:sz w:val="21"/>
          <w:szCs w:val="21"/>
        </w:rPr>
      </w:pPr>
      <w:r w:rsidRPr="006A4D4F">
        <w:rPr>
          <w:rFonts w:ascii="Roboto Light" w:hAnsi="Roboto Light" w:cs="Arial"/>
          <w:color w:val="202426"/>
          <w:sz w:val="21"/>
          <w:szCs w:val="21"/>
        </w:rPr>
        <w:t>Can we do better?</w:t>
      </w:r>
    </w:p>
    <w:p w14:paraId="20BD2F54" w14:textId="605E8297" w:rsidR="00D42661" w:rsidRPr="006A4D4F" w:rsidRDefault="00D42661" w:rsidP="00FF2D59">
      <w:pPr>
        <w:rPr>
          <w:rFonts w:ascii="Roboto Light" w:hAnsi="Roboto Light" w:cs="Arial"/>
          <w:color w:val="202426"/>
          <w:sz w:val="21"/>
          <w:szCs w:val="21"/>
        </w:rPr>
      </w:pPr>
      <w:r w:rsidRPr="006A4D4F">
        <w:rPr>
          <w:rFonts w:ascii="Roboto Light" w:hAnsi="Roboto Light" w:cs="Arial"/>
          <w:color w:val="202426"/>
          <w:sz w:val="21"/>
          <w:szCs w:val="21"/>
        </w:rPr>
        <w:t>This paper shows how an Optional Delinked Reward System</w:t>
      </w:r>
      <w:r w:rsidR="00A06314" w:rsidRPr="006A4D4F">
        <w:rPr>
          <w:rFonts w:ascii="Roboto Light" w:hAnsi="Roboto Light" w:cs="Arial"/>
          <w:color w:val="202426"/>
          <w:sz w:val="21"/>
          <w:szCs w:val="21"/>
        </w:rPr>
        <w:t xml:space="preserve"> (“ODRS”)</w:t>
      </w:r>
      <w:r w:rsidRPr="006A4D4F">
        <w:rPr>
          <w:rFonts w:ascii="Roboto Light" w:hAnsi="Roboto Light" w:cs="Arial"/>
          <w:color w:val="202426"/>
          <w:sz w:val="21"/>
          <w:szCs w:val="21"/>
        </w:rPr>
        <w:t xml:space="preserve"> can </w:t>
      </w:r>
      <w:r w:rsidR="00A06314" w:rsidRPr="006A4D4F">
        <w:rPr>
          <w:rFonts w:ascii="Roboto Light" w:hAnsi="Roboto Light" w:cs="Arial"/>
          <w:color w:val="202426"/>
          <w:sz w:val="21"/>
          <w:szCs w:val="21"/>
        </w:rPr>
        <w:t>make progress on all three dimensions of fairness. By “delinking” the price paid by consumer</w:t>
      </w:r>
      <w:r w:rsidR="00442D18" w:rsidRPr="006A4D4F">
        <w:rPr>
          <w:rFonts w:ascii="Roboto Light" w:hAnsi="Roboto Light" w:cs="Arial"/>
          <w:color w:val="202426"/>
          <w:sz w:val="21"/>
          <w:szCs w:val="21"/>
        </w:rPr>
        <w:t>s</w:t>
      </w:r>
      <w:r w:rsidR="00A06314" w:rsidRPr="006A4D4F">
        <w:rPr>
          <w:rFonts w:ascii="Roboto Light" w:hAnsi="Roboto Light" w:cs="Arial"/>
          <w:color w:val="202426"/>
          <w:sz w:val="21"/>
          <w:szCs w:val="21"/>
        </w:rPr>
        <w:t xml:space="preserve"> or hospital</w:t>
      </w:r>
      <w:r w:rsidR="00442D18" w:rsidRPr="006A4D4F">
        <w:rPr>
          <w:rFonts w:ascii="Roboto Light" w:hAnsi="Roboto Light" w:cs="Arial"/>
          <w:color w:val="202426"/>
          <w:sz w:val="21"/>
          <w:szCs w:val="21"/>
        </w:rPr>
        <w:t>s</w:t>
      </w:r>
      <w:r w:rsidR="00A06314" w:rsidRPr="006A4D4F">
        <w:rPr>
          <w:rFonts w:ascii="Roboto Light" w:hAnsi="Roboto Light" w:cs="Arial"/>
          <w:color w:val="202426"/>
          <w:sz w:val="21"/>
          <w:szCs w:val="21"/>
        </w:rPr>
        <w:t xml:space="preserve"> from the reward paid to the innovator, it is possible to achieve efficient pricing, and thus support access to medicines even by the poor</w:t>
      </w:r>
      <w:r w:rsidR="00691978" w:rsidRPr="006A4D4F">
        <w:rPr>
          <w:rFonts w:ascii="Roboto Light" w:hAnsi="Roboto Light" w:cs="Arial"/>
          <w:color w:val="202426"/>
          <w:sz w:val="21"/>
          <w:szCs w:val="21"/>
        </w:rPr>
        <w:t>, while</w:t>
      </w:r>
      <w:r w:rsidR="00A06314" w:rsidRPr="006A4D4F">
        <w:rPr>
          <w:rFonts w:ascii="Roboto Light" w:hAnsi="Roboto Light" w:cs="Arial"/>
          <w:color w:val="202426"/>
          <w:sz w:val="21"/>
          <w:szCs w:val="21"/>
        </w:rPr>
        <w:t xml:space="preserve"> a separate payment </w:t>
      </w:r>
      <w:r w:rsidR="00691978" w:rsidRPr="006A4D4F">
        <w:rPr>
          <w:rFonts w:ascii="Roboto Light" w:hAnsi="Roboto Light" w:cs="Arial"/>
          <w:color w:val="202426"/>
          <w:sz w:val="21"/>
          <w:szCs w:val="21"/>
        </w:rPr>
        <w:t>supports</w:t>
      </w:r>
      <w:r w:rsidR="00A06314" w:rsidRPr="006A4D4F">
        <w:rPr>
          <w:rFonts w:ascii="Roboto Light" w:hAnsi="Roboto Light" w:cs="Arial"/>
          <w:color w:val="202426"/>
          <w:sz w:val="21"/>
          <w:szCs w:val="21"/>
        </w:rPr>
        <w:t xml:space="preserve"> innovation. Such a reward can and should be </w:t>
      </w:r>
      <w:r w:rsidR="0019741E" w:rsidRPr="006A4D4F">
        <w:rPr>
          <w:rFonts w:ascii="Roboto Light" w:hAnsi="Roboto Light" w:cs="Arial"/>
          <w:color w:val="202426"/>
          <w:sz w:val="21"/>
          <w:szCs w:val="21"/>
        </w:rPr>
        <w:t xml:space="preserve">both </w:t>
      </w:r>
      <w:r w:rsidR="00A06314" w:rsidRPr="006A4D4F">
        <w:rPr>
          <w:rFonts w:ascii="Roboto Light" w:hAnsi="Roboto Light" w:cs="Arial"/>
          <w:color w:val="202426"/>
          <w:sz w:val="21"/>
          <w:szCs w:val="21"/>
        </w:rPr>
        <w:t xml:space="preserve">transparent and based on transparent rules, </w:t>
      </w:r>
      <w:proofErr w:type="gramStart"/>
      <w:r w:rsidR="0019741E" w:rsidRPr="006A4D4F">
        <w:rPr>
          <w:rFonts w:ascii="Roboto Light" w:hAnsi="Roboto Light" w:cs="Arial"/>
          <w:color w:val="202426"/>
          <w:sz w:val="21"/>
          <w:szCs w:val="21"/>
        </w:rPr>
        <w:t>in order to</w:t>
      </w:r>
      <w:proofErr w:type="gramEnd"/>
      <w:r w:rsidR="00A06314" w:rsidRPr="006A4D4F">
        <w:rPr>
          <w:rFonts w:ascii="Roboto Light" w:hAnsi="Roboto Light" w:cs="Arial"/>
          <w:color w:val="202426"/>
          <w:sz w:val="21"/>
          <w:szCs w:val="21"/>
        </w:rPr>
        <w:t xml:space="preserve"> ensure fairness and predictability across firms and products. In addition, this model of </w:t>
      </w:r>
      <w:r w:rsidR="00691978" w:rsidRPr="006A4D4F">
        <w:rPr>
          <w:rFonts w:ascii="Roboto Light" w:hAnsi="Roboto Light" w:cs="Arial"/>
          <w:color w:val="202426"/>
          <w:sz w:val="21"/>
          <w:szCs w:val="21"/>
        </w:rPr>
        <w:t xml:space="preserve">dual </w:t>
      </w:r>
      <w:r w:rsidR="00A06314" w:rsidRPr="006A4D4F">
        <w:rPr>
          <w:rFonts w:ascii="Roboto Light" w:hAnsi="Roboto Light" w:cs="Arial"/>
          <w:color w:val="202426"/>
          <w:sz w:val="21"/>
          <w:szCs w:val="21"/>
        </w:rPr>
        <w:t>payment</w:t>
      </w:r>
      <w:r w:rsidR="00691978" w:rsidRPr="006A4D4F">
        <w:rPr>
          <w:rFonts w:ascii="Roboto Light" w:hAnsi="Roboto Light" w:cs="Arial"/>
          <w:color w:val="202426"/>
          <w:sz w:val="21"/>
          <w:szCs w:val="21"/>
        </w:rPr>
        <w:t>s</w:t>
      </w:r>
      <w:r w:rsidR="00A06314" w:rsidRPr="006A4D4F">
        <w:rPr>
          <w:rFonts w:ascii="Roboto Light" w:hAnsi="Roboto Light" w:cs="Arial"/>
          <w:color w:val="202426"/>
          <w:sz w:val="21"/>
          <w:szCs w:val="21"/>
        </w:rPr>
        <w:t xml:space="preserve"> can enable countries to </w:t>
      </w:r>
      <w:r w:rsidR="000B007A" w:rsidRPr="006A4D4F">
        <w:rPr>
          <w:rFonts w:ascii="Roboto Light" w:hAnsi="Roboto Light" w:cs="Arial"/>
          <w:color w:val="202426"/>
          <w:sz w:val="21"/>
          <w:szCs w:val="21"/>
        </w:rPr>
        <w:t>offer</w:t>
      </w:r>
      <w:r w:rsidR="00A06314" w:rsidRPr="006A4D4F">
        <w:rPr>
          <w:rFonts w:ascii="Roboto Light" w:hAnsi="Roboto Light" w:cs="Arial"/>
          <w:color w:val="202426"/>
          <w:sz w:val="21"/>
          <w:szCs w:val="21"/>
        </w:rPr>
        <w:t xml:space="preserve"> different reward levels that recognize their different income levels, without inducing arbitrage across countries. In summary, the ODRS can advance “fairness” in pharmaceutical pricing in all three dimensions. </w:t>
      </w:r>
    </w:p>
    <w:p w14:paraId="0B9ED55B" w14:textId="1C5DA304" w:rsidR="00FF2D59" w:rsidRPr="006A4D4F" w:rsidRDefault="000B007A" w:rsidP="00FF2D59">
      <w:pPr>
        <w:rPr>
          <w:rFonts w:ascii="Roboto Light" w:hAnsi="Roboto Light" w:cs="Arial"/>
          <w:color w:val="202426"/>
          <w:sz w:val="21"/>
          <w:szCs w:val="21"/>
        </w:rPr>
      </w:pPr>
      <w:r w:rsidRPr="006A4D4F">
        <w:rPr>
          <w:rFonts w:ascii="Roboto Light" w:hAnsi="Roboto Light" w:cs="Arial"/>
          <w:color w:val="202426"/>
          <w:sz w:val="21"/>
          <w:szCs w:val="21"/>
        </w:rPr>
        <w:t xml:space="preserve">The challenges in our current system stem from trying to do too much with a single tool: price. </w:t>
      </w:r>
      <w:r w:rsidR="00FF2D59" w:rsidRPr="006A4D4F">
        <w:rPr>
          <w:rFonts w:ascii="Roboto Light" w:hAnsi="Roboto Light" w:cs="Arial"/>
          <w:color w:val="202426"/>
          <w:sz w:val="21"/>
          <w:szCs w:val="21"/>
        </w:rPr>
        <w:t xml:space="preserve">Pharmaceutical policies must address at least two objectives: encouraging “optimal” </w:t>
      </w:r>
      <w:r w:rsidR="00FF2D59" w:rsidRPr="006A4D4F">
        <w:rPr>
          <w:rFonts w:ascii="Roboto Light" w:hAnsi="Roboto Light" w:cs="Arial"/>
          <w:i/>
          <w:iCs/>
          <w:color w:val="202426"/>
          <w:sz w:val="21"/>
          <w:szCs w:val="21"/>
        </w:rPr>
        <w:t>innovation</w:t>
      </w:r>
      <w:r w:rsidR="00FF2D59" w:rsidRPr="006A4D4F">
        <w:rPr>
          <w:rFonts w:ascii="Roboto Light" w:hAnsi="Roboto Light" w:cs="Arial"/>
          <w:color w:val="202426"/>
          <w:sz w:val="21"/>
          <w:szCs w:val="21"/>
        </w:rPr>
        <w:t xml:space="preserve"> and enabling the widest efficient </w:t>
      </w:r>
      <w:r w:rsidR="00FF2D59" w:rsidRPr="006A4D4F">
        <w:rPr>
          <w:rFonts w:ascii="Roboto Light" w:hAnsi="Roboto Light" w:cs="Arial"/>
          <w:i/>
          <w:iCs/>
          <w:color w:val="202426"/>
          <w:sz w:val="21"/>
          <w:szCs w:val="21"/>
        </w:rPr>
        <w:t>access</w:t>
      </w:r>
      <w:r w:rsidR="00FF2D59" w:rsidRPr="006A4D4F">
        <w:rPr>
          <w:rFonts w:ascii="Roboto Light" w:hAnsi="Roboto Light" w:cs="Arial"/>
          <w:color w:val="202426"/>
          <w:sz w:val="21"/>
          <w:szCs w:val="21"/>
        </w:rPr>
        <w:t>. The implication of this is clear: a single price will not be adequate to meet both objectives, any more than a single arrow can strike two different targets. The relevant principle, formalized as the Tinbergen Rule, is that policy-makers require as many independent instruments as they have objectives.</w:t>
      </w:r>
      <w:r w:rsidR="00FF2D59"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{"citationItems":[{"id":"ITEM-1","itemData":{"author":[{"dropping-particle":"","family":"Tinbergen","given":"Jan","non-dropping-particle":"","parse-names":false,"suffix":""}],"id":"ITEM-1","issued":{"date-parts":[["1952"]]},"title":"On the theory of economic policy","type":"book"},"uris":["http://www.mendeley.com/documents/?uuid=009d2d44-c4ec-46f4-8248-93b3335e5c80"]}],"mendeley":{"formattedCitation":"(2)","plainTextFormattedCitation":"(2)","previouslyFormattedCitation":"(2)"},"properties":{"noteIndex":0},"schema":"https://github.com/citation-style-language/schema/raw/master/csl-citation.json"}</w:instrText>
      </w:r>
      <w:r w:rsidR="00FF2D59"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w:t>
      </w:r>
      <w:r w:rsidR="00FF2D59" w:rsidRPr="006A4D4F">
        <w:rPr>
          <w:rFonts w:ascii="Roboto Light" w:hAnsi="Roboto Light" w:cs="Arial"/>
          <w:color w:val="202426"/>
          <w:sz w:val="21"/>
          <w:szCs w:val="21"/>
        </w:rPr>
        <w:fldChar w:fldCharType="end"/>
      </w:r>
      <w:r w:rsidR="00FF2D59" w:rsidRPr="006A4D4F">
        <w:rPr>
          <w:rFonts w:ascii="Roboto Light" w:hAnsi="Roboto Light" w:cs="Arial"/>
          <w:color w:val="202426"/>
          <w:sz w:val="21"/>
          <w:szCs w:val="21"/>
        </w:rPr>
        <w:t xml:space="preserve"> </w:t>
      </w:r>
    </w:p>
    <w:p w14:paraId="59943B44" w14:textId="5023BB20" w:rsidR="000B007A" w:rsidRPr="006A4D4F" w:rsidRDefault="00FF2D59" w:rsidP="00FF2D59">
      <w:pPr>
        <w:rPr>
          <w:rFonts w:ascii="Roboto Light" w:hAnsi="Roboto Light" w:cs="Arial"/>
          <w:color w:val="202426"/>
          <w:sz w:val="21"/>
          <w:szCs w:val="21"/>
        </w:rPr>
      </w:pPr>
      <w:r w:rsidRPr="006A4D4F">
        <w:rPr>
          <w:rFonts w:ascii="Roboto Light" w:hAnsi="Roboto Light" w:cs="Arial"/>
          <w:color w:val="202426"/>
          <w:sz w:val="21"/>
          <w:szCs w:val="21"/>
        </w:rPr>
        <w:t>The efficient price to optimize access alone is well-known: it is equal to marginal cost, unless there are externalities, such as the risk of infection.</w:t>
      </w:r>
      <w:r w:rsidR="000B007A" w:rsidRPr="006A4D4F">
        <w:rPr>
          <w:rFonts w:ascii="Roboto Light" w:hAnsi="Roboto Light" w:cs="Arial"/>
          <w:color w:val="202426"/>
          <w:sz w:val="21"/>
          <w:szCs w:val="21"/>
        </w:rPr>
        <w:t xml:space="preserve"> The marginal cost to supply a patient or an insurer should include the costs of production, </w:t>
      </w:r>
      <w:r w:rsidR="00442D18" w:rsidRPr="006A4D4F">
        <w:rPr>
          <w:rFonts w:ascii="Roboto Light" w:hAnsi="Roboto Light" w:cs="Arial"/>
          <w:color w:val="202426"/>
          <w:sz w:val="21"/>
          <w:szCs w:val="21"/>
        </w:rPr>
        <w:t>distribution,</w:t>
      </w:r>
      <w:r w:rsidR="000B007A" w:rsidRPr="006A4D4F">
        <w:rPr>
          <w:rFonts w:ascii="Roboto Light" w:hAnsi="Roboto Light" w:cs="Arial"/>
          <w:color w:val="202426"/>
          <w:sz w:val="21"/>
          <w:szCs w:val="21"/>
        </w:rPr>
        <w:t xml:space="preserve"> and retailing, but exclude the research and </w:t>
      </w:r>
      <w:r w:rsidR="000B007A" w:rsidRPr="006A4D4F">
        <w:rPr>
          <w:rFonts w:ascii="Roboto Light" w:hAnsi="Roboto Light" w:cs="Arial"/>
          <w:color w:val="202426"/>
          <w:sz w:val="21"/>
          <w:szCs w:val="21"/>
        </w:rPr>
        <w:lastRenderedPageBreak/>
        <w:t>development costs. It is, in effect, like a competitive generic price. In some cases, there may be a justification for even lower prices, as when the</w:t>
      </w:r>
      <w:r w:rsidR="00B92928" w:rsidRPr="006A4D4F">
        <w:rPr>
          <w:rFonts w:ascii="Roboto Light" w:hAnsi="Roboto Light" w:cs="Arial"/>
          <w:color w:val="202426"/>
          <w:sz w:val="21"/>
          <w:szCs w:val="21"/>
        </w:rPr>
        <w:t xml:space="preserve"> drug limits an infectious disease. </w:t>
      </w:r>
    </w:p>
    <w:p w14:paraId="56818FA0" w14:textId="7A504CA8" w:rsidR="00E23278" w:rsidRPr="006A4D4F" w:rsidRDefault="00FF2D59" w:rsidP="00FF2D59">
      <w:pPr>
        <w:rPr>
          <w:rFonts w:ascii="Roboto Light" w:hAnsi="Roboto Light" w:cs="Arial"/>
          <w:color w:val="202426"/>
          <w:sz w:val="21"/>
          <w:szCs w:val="21"/>
        </w:rPr>
      </w:pPr>
      <w:r w:rsidRPr="006A4D4F">
        <w:rPr>
          <w:rFonts w:ascii="Roboto Light" w:hAnsi="Roboto Light" w:cs="Arial"/>
          <w:color w:val="202426"/>
          <w:sz w:val="21"/>
          <w:szCs w:val="21"/>
        </w:rPr>
        <w:t xml:space="preserve">A price equal to marginal cost will fail to </w:t>
      </w:r>
      <w:r w:rsidR="0019741E" w:rsidRPr="006A4D4F">
        <w:rPr>
          <w:rFonts w:ascii="Roboto Light" w:hAnsi="Roboto Light" w:cs="Arial"/>
          <w:color w:val="202426"/>
          <w:sz w:val="21"/>
          <w:szCs w:val="21"/>
        </w:rPr>
        <w:t>incentivize optimal</w:t>
      </w:r>
      <w:r w:rsidRPr="006A4D4F">
        <w:rPr>
          <w:rFonts w:ascii="Roboto Light" w:hAnsi="Roboto Light" w:cs="Arial"/>
          <w:color w:val="202426"/>
          <w:sz w:val="21"/>
          <w:szCs w:val="21"/>
        </w:rPr>
        <w:t xml:space="preserve"> innovation; a separate payment, not tied to access, is required. This separate payment can be designed to </w:t>
      </w:r>
      <w:r w:rsidR="007279D9" w:rsidRPr="006A4D4F">
        <w:rPr>
          <w:rFonts w:ascii="Roboto Light" w:hAnsi="Roboto Light" w:cs="Arial"/>
          <w:color w:val="202426"/>
          <w:sz w:val="21"/>
          <w:szCs w:val="21"/>
        </w:rPr>
        <w:t xml:space="preserve">be transparent, and to </w:t>
      </w:r>
      <w:r w:rsidRPr="006A4D4F">
        <w:rPr>
          <w:rFonts w:ascii="Roboto Light" w:hAnsi="Roboto Light" w:cs="Arial"/>
          <w:color w:val="202426"/>
          <w:sz w:val="21"/>
          <w:szCs w:val="21"/>
        </w:rPr>
        <w:t>reflect social preferences for innovation</w:t>
      </w:r>
      <w:r w:rsidR="00E23278" w:rsidRPr="006A4D4F">
        <w:rPr>
          <w:rFonts w:ascii="Roboto Light" w:hAnsi="Roboto Light" w:cs="Arial"/>
          <w:color w:val="202426"/>
          <w:sz w:val="21"/>
          <w:szCs w:val="21"/>
        </w:rPr>
        <w:t xml:space="preserve"> and a fair contribution towards the global goals for improved medicines</w:t>
      </w:r>
      <w:r w:rsidR="004B77E3" w:rsidRPr="006A4D4F">
        <w:rPr>
          <w:rFonts w:ascii="Roboto Light" w:hAnsi="Roboto Light" w:cs="Arial"/>
          <w:color w:val="202426"/>
          <w:sz w:val="21"/>
          <w:szCs w:val="21"/>
        </w:rPr>
        <w:t>.</w:t>
      </w:r>
      <w:r w:rsidR="007279D9" w:rsidRPr="006A4D4F">
        <w:rPr>
          <w:rFonts w:ascii="Roboto Light" w:hAnsi="Roboto Light" w:cs="Arial"/>
          <w:color w:val="202426"/>
          <w:sz w:val="21"/>
          <w:szCs w:val="21"/>
        </w:rPr>
        <w:t xml:space="preserve"> </w:t>
      </w:r>
      <w:r w:rsidR="000B007A" w:rsidRPr="006A4D4F">
        <w:rPr>
          <w:rFonts w:ascii="Roboto Light" w:hAnsi="Roboto Light" w:cs="Arial"/>
          <w:color w:val="202426"/>
          <w:sz w:val="21"/>
          <w:szCs w:val="21"/>
        </w:rPr>
        <w:t>The ODRS is built on these principles.</w:t>
      </w:r>
      <w:r w:rsidR="007279D9" w:rsidRPr="006A4D4F">
        <w:rPr>
          <w:rFonts w:ascii="Roboto Light" w:hAnsi="Roboto Light" w:cs="Arial"/>
          <w:color w:val="202426"/>
          <w:sz w:val="21"/>
          <w:szCs w:val="21"/>
        </w:rPr>
        <w:t xml:space="preserve"> However, it is important to recognize that the proposal is not a panacea, and it would poorly suit some types of pharmaceutical innovation. </w:t>
      </w:r>
      <w:proofErr w:type="gramStart"/>
      <w:r w:rsidR="007279D9" w:rsidRPr="006A4D4F">
        <w:rPr>
          <w:rFonts w:ascii="Roboto Light" w:hAnsi="Roboto Light" w:cs="Arial"/>
          <w:color w:val="202426"/>
          <w:sz w:val="21"/>
          <w:szCs w:val="21"/>
        </w:rPr>
        <w:t>This is why</w:t>
      </w:r>
      <w:proofErr w:type="gramEnd"/>
      <w:r w:rsidR="007279D9" w:rsidRPr="006A4D4F">
        <w:rPr>
          <w:rFonts w:ascii="Roboto Light" w:hAnsi="Roboto Light" w:cs="Arial"/>
          <w:color w:val="202426"/>
          <w:sz w:val="21"/>
          <w:szCs w:val="21"/>
        </w:rPr>
        <w:t xml:space="preserve"> the ODRS is an optional system</w:t>
      </w:r>
      <w:r w:rsidR="0045719A" w:rsidRPr="006A4D4F">
        <w:rPr>
          <w:rFonts w:ascii="Roboto Light" w:hAnsi="Roboto Light" w:cs="Arial"/>
          <w:color w:val="202426"/>
          <w:sz w:val="21"/>
          <w:szCs w:val="21"/>
        </w:rPr>
        <w:t>, filling in some gaps</w:t>
      </w:r>
      <w:r w:rsidR="007279D9" w:rsidRPr="006A4D4F">
        <w:rPr>
          <w:rFonts w:ascii="Roboto Light" w:hAnsi="Roboto Light" w:cs="Arial"/>
          <w:color w:val="202426"/>
          <w:sz w:val="21"/>
          <w:szCs w:val="21"/>
        </w:rPr>
        <w:t xml:space="preserve">, </w:t>
      </w:r>
      <w:r w:rsidR="0045719A" w:rsidRPr="006A4D4F">
        <w:rPr>
          <w:rFonts w:ascii="Roboto Light" w:hAnsi="Roboto Light" w:cs="Arial"/>
          <w:color w:val="202426"/>
          <w:sz w:val="21"/>
          <w:szCs w:val="21"/>
        </w:rPr>
        <w:t xml:space="preserve">and </w:t>
      </w:r>
      <w:r w:rsidR="007279D9" w:rsidRPr="006A4D4F">
        <w:rPr>
          <w:rFonts w:ascii="Roboto Light" w:hAnsi="Roboto Light" w:cs="Arial"/>
          <w:color w:val="202426"/>
          <w:sz w:val="21"/>
          <w:szCs w:val="21"/>
        </w:rPr>
        <w:t xml:space="preserve">designed to advance the three types of fairness described above, but not </w:t>
      </w:r>
      <w:r w:rsidR="0045719A" w:rsidRPr="006A4D4F">
        <w:rPr>
          <w:rFonts w:ascii="Roboto Light" w:hAnsi="Roboto Light" w:cs="Arial"/>
          <w:color w:val="202426"/>
          <w:sz w:val="21"/>
          <w:szCs w:val="21"/>
        </w:rPr>
        <w:t>to be a single tool to achieve a pharmaceutical utopia.</w:t>
      </w:r>
    </w:p>
    <w:p w14:paraId="1A12F079" w14:textId="282E9E58" w:rsidR="000B007A" w:rsidRPr="006A4D4F" w:rsidRDefault="007279D9" w:rsidP="00FF2D59">
      <w:pPr>
        <w:rPr>
          <w:rFonts w:ascii="Roboto Light" w:hAnsi="Roboto Light" w:cs="Arial"/>
          <w:color w:val="202426"/>
          <w:sz w:val="21"/>
          <w:szCs w:val="21"/>
        </w:rPr>
      </w:pPr>
      <w:r w:rsidRPr="006A4D4F">
        <w:rPr>
          <w:rFonts w:ascii="Roboto Light" w:hAnsi="Roboto Light" w:cs="Arial"/>
          <w:color w:val="202426"/>
          <w:sz w:val="21"/>
          <w:szCs w:val="21"/>
        </w:rPr>
        <w:t xml:space="preserve">The following sections </w:t>
      </w:r>
      <w:r w:rsidR="00442D18" w:rsidRPr="006A4D4F">
        <w:rPr>
          <w:rFonts w:ascii="Roboto Light" w:hAnsi="Roboto Light" w:cs="Arial"/>
          <w:color w:val="202426"/>
          <w:sz w:val="21"/>
          <w:szCs w:val="21"/>
        </w:rPr>
        <w:t xml:space="preserve">briefly </w:t>
      </w:r>
      <w:r w:rsidRPr="006A4D4F">
        <w:rPr>
          <w:rFonts w:ascii="Roboto Light" w:hAnsi="Roboto Light" w:cs="Arial"/>
          <w:color w:val="202426"/>
          <w:sz w:val="21"/>
          <w:szCs w:val="21"/>
        </w:rPr>
        <w:t>describe how the ODRS would operate, and then why the proposed mechanism would deliver value to patients and industry. Section</w:t>
      </w:r>
      <w:r w:rsidR="00592AE8" w:rsidRPr="006A4D4F">
        <w:rPr>
          <w:rFonts w:ascii="Roboto Light" w:hAnsi="Roboto Light" w:cs="Arial"/>
          <w:color w:val="202426"/>
          <w:sz w:val="21"/>
          <w:szCs w:val="21"/>
        </w:rPr>
        <w:t>s</w:t>
      </w:r>
      <w:r w:rsidRPr="006A4D4F">
        <w:rPr>
          <w:rFonts w:ascii="Roboto Light" w:hAnsi="Roboto Light" w:cs="Arial"/>
          <w:color w:val="202426"/>
          <w:sz w:val="21"/>
          <w:szCs w:val="21"/>
        </w:rPr>
        <w:t xml:space="preserve"> 4 and 5 explain the implementation of the ODRS in greater detail, and what sort of products would likely be most suitable for this model. </w:t>
      </w:r>
      <w:r w:rsidR="0045719A" w:rsidRPr="006A4D4F">
        <w:rPr>
          <w:rFonts w:ascii="Roboto Light" w:hAnsi="Roboto Light" w:cs="Arial"/>
          <w:color w:val="202426"/>
          <w:sz w:val="21"/>
          <w:szCs w:val="21"/>
        </w:rPr>
        <w:t>Section 6 shows how the ODRS can be used in an international context. Sections 7</w:t>
      </w:r>
      <w:r w:rsidR="004741BD" w:rsidRPr="006A4D4F">
        <w:rPr>
          <w:rFonts w:ascii="Roboto Light" w:hAnsi="Roboto Light" w:cs="Arial"/>
          <w:color w:val="202426"/>
          <w:sz w:val="21"/>
          <w:szCs w:val="21"/>
        </w:rPr>
        <w:t xml:space="preserve"> and 8 </w:t>
      </w:r>
      <w:r w:rsidR="0045719A" w:rsidRPr="006A4D4F">
        <w:rPr>
          <w:rFonts w:ascii="Roboto Light" w:hAnsi="Roboto Light" w:cs="Arial"/>
          <w:color w:val="202426"/>
          <w:sz w:val="21"/>
          <w:szCs w:val="21"/>
        </w:rPr>
        <w:t xml:space="preserve">comment on challenges that would face its </w:t>
      </w:r>
      <w:proofErr w:type="gramStart"/>
      <w:r w:rsidR="0045719A" w:rsidRPr="006A4D4F">
        <w:rPr>
          <w:rFonts w:ascii="Roboto Light" w:hAnsi="Roboto Light" w:cs="Arial"/>
          <w:color w:val="202426"/>
          <w:sz w:val="21"/>
          <w:szCs w:val="21"/>
        </w:rPr>
        <w:t>implementation, and</w:t>
      </w:r>
      <w:proofErr w:type="gramEnd"/>
      <w:r w:rsidR="0045719A" w:rsidRPr="006A4D4F">
        <w:rPr>
          <w:rFonts w:ascii="Roboto Light" w:hAnsi="Roboto Light" w:cs="Arial"/>
          <w:color w:val="202426"/>
          <w:sz w:val="21"/>
          <w:szCs w:val="21"/>
        </w:rPr>
        <w:t xml:space="preserve"> offer a closing summary. </w:t>
      </w:r>
    </w:p>
    <w:p w14:paraId="266A2040" w14:textId="79B2BDA5" w:rsidR="00FF2D59" w:rsidRPr="00382EEF" w:rsidRDefault="003C1FCD" w:rsidP="006A4D4F">
      <w:pPr>
        <w:pStyle w:val="Heading1"/>
        <w:spacing w:before="400" w:after="60"/>
        <w:rPr>
          <w:rFonts w:ascii="Roboto" w:hAnsi="Roboto"/>
          <w:b w:val="0"/>
          <w:bCs w:val="0"/>
          <w:color w:val="EB2E3D"/>
          <w:sz w:val="26"/>
          <w:szCs w:val="26"/>
          <w:u w:val="none"/>
        </w:rPr>
      </w:pPr>
      <w:r w:rsidRPr="00382EEF">
        <w:rPr>
          <w:rFonts w:ascii="Roboto" w:hAnsi="Roboto"/>
          <w:b w:val="0"/>
          <w:bCs w:val="0"/>
          <w:color w:val="EB2E3D"/>
          <w:sz w:val="26"/>
          <w:szCs w:val="26"/>
          <w:u w:val="none"/>
        </w:rPr>
        <w:t xml:space="preserve">2. </w:t>
      </w:r>
      <w:r w:rsidR="0045719A" w:rsidRPr="00382EEF">
        <w:rPr>
          <w:rFonts w:ascii="Roboto" w:hAnsi="Roboto"/>
          <w:b w:val="0"/>
          <w:bCs w:val="0"/>
          <w:color w:val="EB2E3D"/>
          <w:sz w:val="26"/>
          <w:szCs w:val="26"/>
          <w:u w:val="none"/>
        </w:rPr>
        <w:t xml:space="preserve">ODRS </w:t>
      </w:r>
      <w:r w:rsidR="006A4D4F" w:rsidRPr="00382EEF">
        <w:rPr>
          <w:rFonts w:ascii="Roboto" w:hAnsi="Roboto"/>
          <w:b w:val="0"/>
          <w:bCs w:val="0"/>
          <w:color w:val="EB2E3D"/>
          <w:sz w:val="26"/>
          <w:szCs w:val="26"/>
          <w:u w:val="none"/>
        </w:rPr>
        <w:t>DESIGN</w:t>
      </w:r>
    </w:p>
    <w:p w14:paraId="50640360" w14:textId="65531FB3" w:rsidR="00FF2D59" w:rsidRPr="006A4D4F" w:rsidRDefault="00FF2D59" w:rsidP="00FF2D59">
      <w:pPr>
        <w:rPr>
          <w:rFonts w:ascii="Roboto Light" w:hAnsi="Roboto Light" w:cs="Arial"/>
          <w:color w:val="000000"/>
          <w:sz w:val="21"/>
          <w:szCs w:val="21"/>
        </w:rPr>
      </w:pPr>
      <w:r w:rsidRPr="006A4D4F">
        <w:rPr>
          <w:rFonts w:ascii="Roboto Light" w:hAnsi="Roboto Light" w:cs="Arial"/>
          <w:color w:val="202426"/>
          <w:sz w:val="21"/>
          <w:szCs w:val="21"/>
        </w:rPr>
        <w:t>The ODRS</w:t>
      </w:r>
      <w:r w:rsidR="005A0CE0" w:rsidRPr="006A4D4F">
        <w:rPr>
          <w:rFonts w:ascii="Roboto Light" w:hAnsi="Roboto Light" w:cs="Arial"/>
          <w:color w:val="202426"/>
          <w:sz w:val="21"/>
          <w:szCs w:val="21"/>
        </w:rPr>
        <w:t xml:space="preserve"> is designed as a complement to existing systems of insurance. It</w:t>
      </w:r>
      <w:r w:rsidRPr="006A4D4F">
        <w:rPr>
          <w:rFonts w:ascii="Roboto Light" w:hAnsi="Roboto Light" w:cs="Arial"/>
          <w:color w:val="202426"/>
          <w:sz w:val="21"/>
          <w:szCs w:val="21"/>
        </w:rPr>
        <w:t xml:space="preserve"> would </w:t>
      </w:r>
      <w:r w:rsidR="005A0CE0" w:rsidRPr="006A4D4F">
        <w:rPr>
          <w:rFonts w:ascii="Roboto Light" w:hAnsi="Roboto Light" w:cs="Arial"/>
          <w:color w:val="202426"/>
          <w:sz w:val="21"/>
          <w:szCs w:val="21"/>
        </w:rPr>
        <w:t xml:space="preserve">create an </w:t>
      </w:r>
      <w:r w:rsidR="005A0CE0" w:rsidRPr="006A4D4F">
        <w:rPr>
          <w:rFonts w:ascii="Roboto Medium" w:hAnsi="Roboto Medium" w:cs="Arial"/>
          <w:color w:val="202426"/>
          <w:sz w:val="21"/>
          <w:szCs w:val="21"/>
        </w:rPr>
        <w:t>option</w:t>
      </w:r>
      <w:r w:rsidRPr="006A4D4F">
        <w:rPr>
          <w:rFonts w:ascii="Roboto Light" w:hAnsi="Roboto Light" w:cs="Arial"/>
          <w:color w:val="202426"/>
          <w:sz w:val="21"/>
          <w:szCs w:val="21"/>
        </w:rPr>
        <w:t xml:space="preserve"> </w:t>
      </w:r>
      <w:r w:rsidR="005A0CE0" w:rsidRPr="006A4D4F">
        <w:rPr>
          <w:rFonts w:ascii="Roboto Light" w:hAnsi="Roboto Light" w:cs="Arial"/>
          <w:color w:val="202426"/>
          <w:sz w:val="21"/>
          <w:szCs w:val="21"/>
        </w:rPr>
        <w:t>for firms selling</w:t>
      </w:r>
      <w:r w:rsidRPr="006A4D4F">
        <w:rPr>
          <w:rFonts w:ascii="Roboto Light" w:hAnsi="Roboto Light" w:cs="Arial"/>
          <w:color w:val="202426"/>
          <w:sz w:val="21"/>
          <w:szCs w:val="21"/>
        </w:rPr>
        <w:t xml:space="preserve"> patented drugs</w:t>
      </w:r>
      <w:r w:rsidR="005A0CE0" w:rsidRPr="006A4D4F">
        <w:rPr>
          <w:rFonts w:ascii="Roboto Light" w:hAnsi="Roboto Light" w:cs="Arial"/>
          <w:color w:val="202426"/>
          <w:sz w:val="21"/>
          <w:szCs w:val="21"/>
        </w:rPr>
        <w:t xml:space="preserve">: they could </w:t>
      </w:r>
      <w:r w:rsidR="00442D18" w:rsidRPr="006A4D4F">
        <w:rPr>
          <w:rFonts w:ascii="Roboto Light" w:hAnsi="Roboto Light" w:cs="Arial"/>
          <w:color w:val="202426"/>
          <w:sz w:val="21"/>
          <w:szCs w:val="21"/>
        </w:rPr>
        <w:t xml:space="preserve">either </w:t>
      </w:r>
      <w:r w:rsidR="005A0CE0" w:rsidRPr="006A4D4F">
        <w:rPr>
          <w:rFonts w:ascii="Roboto Light" w:hAnsi="Roboto Light" w:cs="Arial"/>
          <w:color w:val="202426"/>
          <w:sz w:val="21"/>
          <w:szCs w:val="21"/>
        </w:rPr>
        <w:t>continue with business as usual, or elect payment through the ODRS. The latter</w:t>
      </w:r>
      <w:r w:rsidRPr="006A4D4F">
        <w:rPr>
          <w:rFonts w:ascii="Roboto Light" w:hAnsi="Roboto Light" w:cs="Arial"/>
          <w:color w:val="202426"/>
          <w:sz w:val="21"/>
          <w:szCs w:val="21"/>
        </w:rPr>
        <w:t xml:space="preserve"> would entail two separate payments to </w:t>
      </w:r>
      <w:r w:rsidR="005A0CE0" w:rsidRPr="006A4D4F">
        <w:rPr>
          <w:rFonts w:ascii="Roboto Light" w:hAnsi="Roboto Light" w:cs="Arial"/>
          <w:color w:val="202426"/>
          <w:sz w:val="21"/>
          <w:szCs w:val="21"/>
        </w:rPr>
        <w:t>the</w:t>
      </w:r>
      <w:r w:rsidRPr="006A4D4F">
        <w:rPr>
          <w:rFonts w:ascii="Roboto Light" w:hAnsi="Roboto Light" w:cs="Arial"/>
          <w:color w:val="202426"/>
          <w:sz w:val="21"/>
          <w:szCs w:val="21"/>
        </w:rPr>
        <w:t xml:space="preserve"> supplier: (a) a </w:t>
      </w:r>
      <w:r w:rsidRPr="006A4D4F">
        <w:rPr>
          <w:rFonts w:ascii="Roboto Medium" w:hAnsi="Roboto Medium" w:cs="Arial"/>
          <w:color w:val="202426"/>
          <w:sz w:val="21"/>
          <w:szCs w:val="21"/>
        </w:rPr>
        <w:t>price per unit</w:t>
      </w:r>
      <w:r w:rsidRPr="006A4D4F">
        <w:rPr>
          <w:rFonts w:ascii="Roboto Light" w:hAnsi="Roboto Light" w:cs="Arial"/>
          <w:color w:val="202426"/>
          <w:sz w:val="21"/>
          <w:szCs w:val="21"/>
        </w:rPr>
        <w:t xml:space="preserve"> of the product equal to the average cost of production and distribution, which would roughly equal the price that one would expect following generic entry and (b) a</w:t>
      </w:r>
      <w:r w:rsidRPr="006A4D4F">
        <w:rPr>
          <w:rFonts w:ascii="Roboto Medium" w:hAnsi="Roboto Medium" w:cs="Arial"/>
          <w:color w:val="202426"/>
          <w:sz w:val="21"/>
          <w:szCs w:val="21"/>
        </w:rPr>
        <w:t xml:space="preserve"> reward for innovation</w:t>
      </w:r>
      <w:r w:rsidRPr="006A4D4F">
        <w:rPr>
          <w:rFonts w:ascii="Roboto Light" w:hAnsi="Roboto Light" w:cs="Arial"/>
          <w:color w:val="202426"/>
          <w:sz w:val="21"/>
          <w:szCs w:val="21"/>
        </w:rPr>
        <w:t xml:space="preserve">, based on the assessed incremental health benefits resulting from use of a medicine, compared to the existing standard of care. The reward should offer a fixed price (e.g., £50,000) per unit of health benefit (e.g., per incremental </w:t>
      </w:r>
      <w:r w:rsidR="005A0CE0" w:rsidRPr="006A4D4F">
        <w:rPr>
          <w:rFonts w:ascii="Roboto Light" w:hAnsi="Roboto Light" w:cs="Arial"/>
          <w:color w:val="202426"/>
          <w:sz w:val="21"/>
          <w:szCs w:val="21"/>
        </w:rPr>
        <w:t>Quality-Adjusted Health-Year (</w:t>
      </w:r>
      <w:r w:rsidRPr="006A4D4F">
        <w:rPr>
          <w:rFonts w:ascii="Roboto Light" w:hAnsi="Roboto Light" w:cs="Arial"/>
          <w:color w:val="202426"/>
          <w:sz w:val="21"/>
          <w:szCs w:val="21"/>
        </w:rPr>
        <w:t>QALY</w:t>
      </w:r>
      <w:r w:rsidR="005A0CE0" w:rsidRPr="006A4D4F">
        <w:rPr>
          <w:rFonts w:ascii="Roboto Light" w:hAnsi="Roboto Light" w:cs="Arial"/>
          <w:color w:val="202426"/>
          <w:sz w:val="21"/>
          <w:szCs w:val="21"/>
        </w:rPr>
        <w:t>)</w:t>
      </w:r>
      <w:r w:rsidRPr="006A4D4F">
        <w:rPr>
          <w:rFonts w:ascii="Roboto Light" w:hAnsi="Roboto Light" w:cs="Arial"/>
          <w:color w:val="202426"/>
          <w:sz w:val="21"/>
          <w:szCs w:val="21"/>
        </w:rPr>
        <w:t xml:space="preserve">). Assuming a limited budget, the reward could contemplate equiproportionate reductions in rewards for all participants, if the proposed rewards exceeded the budget. </w:t>
      </w:r>
      <w:r w:rsidR="00B601FE" w:rsidRPr="006A4D4F">
        <w:rPr>
          <w:rFonts w:ascii="Roboto Light" w:hAnsi="Roboto Light" w:cs="Arial"/>
          <w:color w:val="202426"/>
          <w:sz w:val="21"/>
          <w:szCs w:val="21"/>
        </w:rPr>
        <w:t xml:space="preserve">In this way, firms would compete for the limited budget based on the health benefits their products achieved. </w:t>
      </w:r>
      <w:r w:rsidR="005A0CE0" w:rsidRPr="006A4D4F">
        <w:rPr>
          <w:rFonts w:ascii="Roboto Light" w:hAnsi="Roboto Light" w:cs="Arial"/>
          <w:color w:val="202426"/>
          <w:sz w:val="21"/>
          <w:szCs w:val="21"/>
        </w:rPr>
        <w:t xml:space="preserve">The </w:t>
      </w:r>
      <w:r w:rsidR="0078126C" w:rsidRPr="006A4D4F">
        <w:rPr>
          <w:rFonts w:ascii="Roboto Light" w:hAnsi="Roboto Light" w:cs="Arial"/>
          <w:color w:val="202426"/>
          <w:sz w:val="21"/>
          <w:szCs w:val="21"/>
        </w:rPr>
        <w:t xml:space="preserve">unit </w:t>
      </w:r>
      <w:r w:rsidR="005A0CE0" w:rsidRPr="006A4D4F">
        <w:rPr>
          <w:rFonts w:ascii="Roboto Light" w:hAnsi="Roboto Light" w:cs="Arial"/>
          <w:color w:val="202426"/>
          <w:sz w:val="21"/>
          <w:szCs w:val="21"/>
        </w:rPr>
        <w:t xml:space="preserve">price would be paid under existing systems of insurance or out-of-pocket in the normal course. </w:t>
      </w:r>
      <w:r w:rsidR="0045719A" w:rsidRPr="006A4D4F">
        <w:rPr>
          <w:rFonts w:ascii="Roboto Light" w:hAnsi="Roboto Light" w:cs="Arial"/>
          <w:color w:val="202426"/>
          <w:sz w:val="21"/>
          <w:szCs w:val="21"/>
        </w:rPr>
        <w:t>The annual reward payment to the firm would equal the reward per QALY times the incremental number of QALYs achieved by the product</w:t>
      </w:r>
      <w:r w:rsidR="00302155" w:rsidRPr="006A4D4F">
        <w:rPr>
          <w:rFonts w:ascii="Roboto Light" w:hAnsi="Roboto Light" w:cs="Arial"/>
          <w:color w:val="202426"/>
          <w:sz w:val="21"/>
          <w:szCs w:val="21"/>
        </w:rPr>
        <w:t xml:space="preserve">, with deductions for the product sales revenues and net additional costs required for its use. (Additional details on payment determination are </w:t>
      </w:r>
      <w:r w:rsidR="006C5510" w:rsidRPr="006A4D4F">
        <w:rPr>
          <w:rFonts w:ascii="Roboto Light" w:hAnsi="Roboto Light" w:cs="Arial"/>
          <w:color w:val="202426"/>
          <w:sz w:val="21"/>
          <w:szCs w:val="21"/>
        </w:rPr>
        <w:t>included</w:t>
      </w:r>
      <w:r w:rsidR="00302155" w:rsidRPr="006A4D4F">
        <w:rPr>
          <w:rFonts w:ascii="Roboto Light" w:hAnsi="Roboto Light" w:cs="Arial"/>
          <w:color w:val="202426"/>
          <w:sz w:val="21"/>
          <w:szCs w:val="21"/>
        </w:rPr>
        <w:t xml:space="preserve"> in Section 4.)</w:t>
      </w:r>
      <w:r w:rsidR="0045719A" w:rsidRPr="006A4D4F">
        <w:rPr>
          <w:rFonts w:ascii="Roboto Light" w:hAnsi="Roboto Light" w:cs="Arial"/>
          <w:color w:val="202426"/>
          <w:sz w:val="21"/>
          <w:szCs w:val="21"/>
        </w:rPr>
        <w:t xml:space="preserve"> </w:t>
      </w:r>
    </w:p>
    <w:p w14:paraId="27E268B2" w14:textId="6A18C93B" w:rsidR="00FF2D59" w:rsidRPr="006A4D4F" w:rsidRDefault="00FF2D59" w:rsidP="00FF2D59">
      <w:pPr>
        <w:rPr>
          <w:rFonts w:ascii="Roboto Light" w:hAnsi="Roboto Light" w:cs="Arial"/>
          <w:color w:val="202426"/>
          <w:sz w:val="21"/>
          <w:szCs w:val="21"/>
        </w:rPr>
      </w:pPr>
      <w:r w:rsidRPr="006A4D4F">
        <w:rPr>
          <w:rFonts w:ascii="Roboto Light" w:hAnsi="Roboto Light" w:cs="Arial"/>
          <w:color w:val="202426"/>
          <w:sz w:val="21"/>
          <w:szCs w:val="21"/>
        </w:rPr>
        <w:t xml:space="preserve">Rewards could be paid over a period of years – ten seems appropriate, to match the average exclusivity period of new drugs in most markets – based on annual assessed health benefits. Following the ten-year period, the firm would be obliged to permit generic competitors to supply the drug. </w:t>
      </w:r>
      <w:r w:rsidR="00B92928" w:rsidRPr="006A4D4F">
        <w:rPr>
          <w:rFonts w:ascii="Roboto Light" w:hAnsi="Roboto Light" w:cs="Arial"/>
          <w:color w:val="202426"/>
          <w:sz w:val="21"/>
          <w:szCs w:val="21"/>
        </w:rPr>
        <w:t xml:space="preserve">Thus, the sales price could be expected to continue at about the same level after generic entry as before. </w:t>
      </w:r>
    </w:p>
    <w:p w14:paraId="63E333F1" w14:textId="21EF1843" w:rsidR="0078126C" w:rsidRPr="006A4D4F" w:rsidRDefault="00FF2D59" w:rsidP="00FF2D59">
      <w:pPr>
        <w:rPr>
          <w:rFonts w:ascii="Roboto Light" w:hAnsi="Roboto Light" w:cs="Arial"/>
          <w:color w:val="202426"/>
          <w:sz w:val="21"/>
          <w:szCs w:val="21"/>
        </w:rPr>
      </w:pPr>
      <w:r w:rsidRPr="006A4D4F">
        <w:rPr>
          <w:rFonts w:ascii="Roboto Light" w:hAnsi="Roboto Light" w:cs="Arial"/>
          <w:color w:val="202426"/>
          <w:sz w:val="21"/>
          <w:szCs w:val="21"/>
        </w:rPr>
        <w:t xml:space="preserve">If assessed benefits are the measure of success, then it is necessary to have a way of valuing those benefits: the standard, though imperfect, measure is something like incremental Quality-Adjusted Life-Years, or QALYs, delivered </w:t>
      </w:r>
      <w:proofErr w:type="gramStart"/>
      <w:r w:rsidRPr="006A4D4F">
        <w:rPr>
          <w:rFonts w:ascii="Roboto Light" w:hAnsi="Roboto Light" w:cs="Arial"/>
          <w:color w:val="202426"/>
          <w:sz w:val="21"/>
          <w:szCs w:val="21"/>
        </w:rPr>
        <w:t>by the use of</w:t>
      </w:r>
      <w:proofErr w:type="gramEnd"/>
      <w:r w:rsidRPr="006A4D4F">
        <w:rPr>
          <w:rFonts w:ascii="Roboto Light" w:hAnsi="Roboto Light" w:cs="Arial"/>
          <w:color w:val="202426"/>
          <w:sz w:val="21"/>
          <w:szCs w:val="21"/>
        </w:rPr>
        <w:t xml:space="preserve"> the medicine rather than the pre-existing </w:t>
      </w:r>
      <w:r w:rsidRPr="006A4D4F">
        <w:rPr>
          <w:rFonts w:ascii="Roboto Light" w:hAnsi="Roboto Light" w:cs="Arial"/>
          <w:color w:val="202426"/>
          <w:sz w:val="21"/>
          <w:szCs w:val="21"/>
        </w:rPr>
        <w:lastRenderedPageBreak/>
        <w:t>standard of care. Measurement of health benefits need not be an insuperable barrier; in the context of a country like the UK, there is already a considerable investment in estimating QALYs for new products. What would be required beyond the current efforts is to track how those drugs were being used, particularly when there are multiple indications. In some cases, tracking patient demographics might also be useful in estimating health benefits.</w:t>
      </w:r>
      <w:r w:rsidR="008B31CE" w:rsidRPr="006A4D4F">
        <w:rPr>
          <w:rFonts w:ascii="Roboto Light" w:hAnsi="Roboto Light" w:cs="Arial"/>
          <w:color w:val="202426"/>
          <w:sz w:val="21"/>
          <w:szCs w:val="21"/>
        </w:rPr>
        <w:t xml:space="preserve"> Some drugs also have post-approval clinical trial and reporting requirements and, where appropriate, these data could also be used.</w:t>
      </w:r>
      <w:r w:rsidRPr="006A4D4F">
        <w:rPr>
          <w:rFonts w:ascii="Roboto Light" w:hAnsi="Roboto Light" w:cs="Arial"/>
          <w:color w:val="202426"/>
          <w:sz w:val="21"/>
          <w:szCs w:val="21"/>
        </w:rPr>
        <w:t xml:space="preserve"> </w:t>
      </w:r>
      <w:r w:rsidRPr="006A4D4F">
        <w:rPr>
          <w:rFonts w:ascii="Roboto Medium" w:hAnsi="Roboto Medium" w:cs="Arial"/>
          <w:color w:val="202426"/>
          <w:sz w:val="21"/>
          <w:szCs w:val="21"/>
        </w:rPr>
        <w:t>It isn’t proposed that real</w:t>
      </w:r>
      <w:r w:rsidR="00442D18" w:rsidRPr="006A4D4F">
        <w:rPr>
          <w:rFonts w:ascii="Roboto Medium" w:hAnsi="Roboto Medium" w:cs="Arial"/>
          <w:color w:val="202426"/>
          <w:sz w:val="21"/>
          <w:szCs w:val="21"/>
        </w:rPr>
        <w:t>-</w:t>
      </w:r>
      <w:r w:rsidRPr="006A4D4F">
        <w:rPr>
          <w:rFonts w:ascii="Roboto Medium" w:hAnsi="Roboto Medium" w:cs="Arial"/>
          <w:color w:val="202426"/>
          <w:sz w:val="21"/>
          <w:szCs w:val="21"/>
        </w:rPr>
        <w:t>world outcomes be used to assess health benefits</w:t>
      </w:r>
      <w:r w:rsidRPr="006A4D4F">
        <w:rPr>
          <w:rFonts w:ascii="Roboto Light" w:hAnsi="Roboto Light" w:cs="Arial"/>
          <w:color w:val="202426"/>
          <w:sz w:val="21"/>
          <w:szCs w:val="21"/>
        </w:rPr>
        <w:t xml:space="preserve">; instead, assessment should be based on clinical trial data, </w:t>
      </w:r>
      <w:r w:rsidR="0078126C" w:rsidRPr="006A4D4F">
        <w:rPr>
          <w:rFonts w:ascii="Roboto Light" w:hAnsi="Roboto Light" w:cs="Arial"/>
          <w:color w:val="202426"/>
          <w:sz w:val="21"/>
          <w:szCs w:val="21"/>
        </w:rPr>
        <w:t>modified</w:t>
      </w:r>
      <w:r w:rsidRPr="006A4D4F">
        <w:rPr>
          <w:rFonts w:ascii="Roboto Light" w:hAnsi="Roboto Light" w:cs="Arial"/>
          <w:color w:val="202426"/>
          <w:sz w:val="21"/>
          <w:szCs w:val="21"/>
        </w:rPr>
        <w:t xml:space="preserve"> appropriately for relevant measurable characteristics of usage such as indications. This is not a pay-for-performance model in which the drug is not reimbursed if the patient doesn’t get better.</w:t>
      </w:r>
      <w:r w:rsidR="0078126C" w:rsidRPr="006A4D4F">
        <w:rPr>
          <w:rFonts w:ascii="Roboto Light" w:hAnsi="Roboto Light" w:cs="Arial"/>
          <w:color w:val="202426"/>
          <w:sz w:val="21"/>
          <w:szCs w:val="21"/>
        </w:rPr>
        <w:t xml:space="preserve"> </w:t>
      </w:r>
    </w:p>
    <w:p w14:paraId="1E4C8EF4" w14:textId="7893535C" w:rsidR="00FF2D59" w:rsidRPr="006A4D4F" w:rsidRDefault="0078126C" w:rsidP="0078126C">
      <w:pPr>
        <w:rPr>
          <w:rFonts w:ascii="Roboto Light" w:hAnsi="Roboto Light" w:cs="Arial"/>
          <w:color w:val="202426"/>
          <w:sz w:val="21"/>
          <w:szCs w:val="21"/>
        </w:rPr>
      </w:pPr>
      <w:r w:rsidRPr="006A4D4F">
        <w:rPr>
          <w:rFonts w:ascii="Roboto Light" w:hAnsi="Roboto Light" w:cs="Arial"/>
          <w:color w:val="202426"/>
          <w:sz w:val="21"/>
          <w:szCs w:val="21"/>
        </w:rPr>
        <w:t>The ODRS is here conceived as a supplementary national system of insurance, funded by existing national or private insurers. However, a</w:t>
      </w:r>
      <w:r w:rsidR="00FF2D59" w:rsidRPr="006A4D4F">
        <w:rPr>
          <w:rFonts w:ascii="Roboto Light" w:hAnsi="Roboto Light" w:cs="Arial"/>
          <w:color w:val="202426"/>
          <w:sz w:val="21"/>
          <w:szCs w:val="21"/>
        </w:rPr>
        <w:t xml:space="preserve">s described </w:t>
      </w:r>
      <w:r w:rsidR="00302155" w:rsidRPr="006A4D4F">
        <w:rPr>
          <w:rFonts w:ascii="Roboto Light" w:hAnsi="Roboto Light" w:cs="Arial"/>
          <w:color w:val="202426"/>
          <w:sz w:val="21"/>
          <w:szCs w:val="21"/>
        </w:rPr>
        <w:t>in Section 6</w:t>
      </w:r>
      <w:r w:rsidR="00FF2D59" w:rsidRPr="006A4D4F">
        <w:rPr>
          <w:rFonts w:ascii="Roboto Light" w:hAnsi="Roboto Light" w:cs="Arial"/>
          <w:color w:val="202426"/>
          <w:sz w:val="21"/>
          <w:szCs w:val="21"/>
        </w:rPr>
        <w:t xml:space="preserve">, the ODRS could be implemented collaboratively by a group of countries. </w:t>
      </w:r>
    </w:p>
    <w:p w14:paraId="0C99073B" w14:textId="2A80B0BA" w:rsidR="00FF2D59" w:rsidRPr="006A4D4F" w:rsidRDefault="003C1FCD" w:rsidP="00FF2D59">
      <w:pPr>
        <w:rPr>
          <w:rFonts w:ascii="Roboto Light" w:hAnsi="Roboto Light" w:cs="Arial"/>
          <w:color w:val="202426"/>
          <w:sz w:val="21"/>
          <w:szCs w:val="21"/>
        </w:rPr>
      </w:pPr>
      <w:r w:rsidRPr="006A4D4F">
        <w:rPr>
          <w:rFonts w:ascii="Roboto Light" w:hAnsi="Roboto Light" w:cs="Arial"/>
          <w:color w:val="202426"/>
          <w:sz w:val="21"/>
          <w:szCs w:val="21"/>
        </w:rPr>
        <w:t>Further discussion of the d</w:t>
      </w:r>
      <w:r w:rsidR="00FF2D59" w:rsidRPr="006A4D4F">
        <w:rPr>
          <w:rFonts w:ascii="Roboto Light" w:hAnsi="Roboto Light" w:cs="Arial"/>
          <w:color w:val="202426"/>
          <w:sz w:val="21"/>
          <w:szCs w:val="21"/>
        </w:rPr>
        <w:t>etails of</w:t>
      </w:r>
      <w:r w:rsidR="00442D18" w:rsidRPr="006A4D4F">
        <w:rPr>
          <w:rFonts w:ascii="Roboto Light" w:hAnsi="Roboto Light" w:cs="Arial"/>
          <w:color w:val="202426"/>
          <w:sz w:val="21"/>
          <w:szCs w:val="21"/>
        </w:rPr>
        <w:t xml:space="preserve"> the</w:t>
      </w:r>
      <w:r w:rsidR="00FF2D59" w:rsidRPr="006A4D4F">
        <w:rPr>
          <w:rFonts w:ascii="Roboto Light" w:hAnsi="Roboto Light" w:cs="Arial"/>
          <w:color w:val="202426"/>
          <w:sz w:val="21"/>
          <w:szCs w:val="21"/>
        </w:rPr>
        <w:t xml:space="preserve"> implementation</w:t>
      </w:r>
      <w:r w:rsidRPr="006A4D4F">
        <w:rPr>
          <w:rFonts w:ascii="Roboto Light" w:hAnsi="Roboto Light" w:cs="Arial"/>
          <w:color w:val="202426"/>
          <w:sz w:val="21"/>
          <w:szCs w:val="21"/>
        </w:rPr>
        <w:t xml:space="preserve"> of the ODRS </w:t>
      </w:r>
      <w:r w:rsidR="00442D18" w:rsidRPr="006A4D4F">
        <w:rPr>
          <w:rFonts w:ascii="Roboto Light" w:hAnsi="Roboto Light" w:cs="Arial"/>
          <w:color w:val="202426"/>
          <w:sz w:val="21"/>
          <w:szCs w:val="21"/>
        </w:rPr>
        <w:t>is</w:t>
      </w:r>
      <w:r w:rsidRPr="006A4D4F">
        <w:rPr>
          <w:rFonts w:ascii="Roboto Light" w:hAnsi="Roboto Light" w:cs="Arial"/>
          <w:color w:val="202426"/>
          <w:sz w:val="21"/>
          <w:szCs w:val="21"/>
        </w:rPr>
        <w:t xml:space="preserve"> postponed until after a discussion of the rationale for this addition to the system of insurance and drug pricing.</w:t>
      </w:r>
    </w:p>
    <w:p w14:paraId="3B0166A1" w14:textId="77777777" w:rsidR="003C1FCD" w:rsidRPr="00382EEF" w:rsidRDefault="003C1FCD" w:rsidP="006A4D4F">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3. Rationale</w:t>
      </w:r>
      <w:r w:rsidR="00F02D43" w:rsidRPr="00382EEF">
        <w:rPr>
          <w:rFonts w:ascii="Roboto" w:hAnsi="Roboto"/>
          <w:b w:val="0"/>
          <w:bCs w:val="0"/>
          <w:caps/>
          <w:color w:val="EB2E3D"/>
          <w:sz w:val="26"/>
          <w:szCs w:val="26"/>
          <w:u w:val="none"/>
        </w:rPr>
        <w:t xml:space="preserve"> for the ODRS</w:t>
      </w:r>
    </w:p>
    <w:p w14:paraId="3FCAFDB0" w14:textId="48AD4B1B" w:rsidR="00FF2D59" w:rsidRPr="006A4D4F" w:rsidRDefault="003C1FCD" w:rsidP="00FF2D59">
      <w:pPr>
        <w:rPr>
          <w:rFonts w:ascii="Roboto Light" w:hAnsi="Roboto Light" w:cs="Arial"/>
          <w:color w:val="202426"/>
          <w:sz w:val="21"/>
          <w:szCs w:val="21"/>
        </w:rPr>
      </w:pPr>
      <w:r w:rsidRPr="006A4D4F">
        <w:rPr>
          <w:rFonts w:ascii="Roboto Light" w:hAnsi="Roboto Light" w:cs="Arial"/>
          <w:color w:val="202426"/>
          <w:sz w:val="21"/>
          <w:szCs w:val="21"/>
        </w:rPr>
        <w:t xml:space="preserve">The ODRS could offer numerous benefits both to patients and to innovative firms, as discussed below. It would create a backstop on pricing to constrain opportunistic behaviour by insurers. It could avoid entry delays caused by </w:t>
      </w:r>
      <w:r w:rsidR="0019741E" w:rsidRPr="006A4D4F">
        <w:rPr>
          <w:rFonts w:ascii="Roboto Light" w:hAnsi="Roboto Light" w:cs="Arial"/>
          <w:color w:val="202426"/>
          <w:sz w:val="21"/>
          <w:szCs w:val="21"/>
        </w:rPr>
        <w:t>Health Technology Assessment (</w:t>
      </w:r>
      <w:r w:rsidRPr="006A4D4F">
        <w:rPr>
          <w:rFonts w:ascii="Roboto Light" w:hAnsi="Roboto Light" w:cs="Arial"/>
          <w:color w:val="202426"/>
          <w:sz w:val="21"/>
          <w:szCs w:val="21"/>
        </w:rPr>
        <w:t>HTA</w:t>
      </w:r>
      <w:r w:rsidR="0019741E" w:rsidRPr="006A4D4F">
        <w:rPr>
          <w:rFonts w:ascii="Roboto Light" w:hAnsi="Roboto Light" w:cs="Arial"/>
          <w:color w:val="202426"/>
          <w:sz w:val="21"/>
          <w:szCs w:val="21"/>
        </w:rPr>
        <w:t>)</w:t>
      </w:r>
      <w:r w:rsidRPr="006A4D4F">
        <w:rPr>
          <w:rFonts w:ascii="Roboto Light" w:hAnsi="Roboto Light" w:cs="Arial"/>
          <w:color w:val="202426"/>
          <w:sz w:val="21"/>
          <w:szCs w:val="21"/>
        </w:rPr>
        <w:t xml:space="preserve"> processes and price negotiation, which in many countries result in years in which patients are unable to access drugs and firms are unable to earn revenues. </w:t>
      </w:r>
      <w:r w:rsidR="00442D18" w:rsidRPr="006A4D4F">
        <w:rPr>
          <w:rFonts w:ascii="Roboto Light" w:hAnsi="Roboto Light" w:cs="Arial"/>
          <w:color w:val="202426"/>
          <w:sz w:val="21"/>
          <w:szCs w:val="21"/>
        </w:rPr>
        <w:t>In addition,</w:t>
      </w:r>
      <w:r w:rsidRPr="006A4D4F">
        <w:rPr>
          <w:rFonts w:ascii="Roboto Light" w:hAnsi="Roboto Light" w:cs="Arial"/>
          <w:color w:val="202426"/>
          <w:sz w:val="21"/>
          <w:szCs w:val="21"/>
        </w:rPr>
        <w:t xml:space="preserve"> it could better manage pricing in various settings, including for multi-indication drugs and orphan drugs. </w:t>
      </w:r>
    </w:p>
    <w:p w14:paraId="6973228D" w14:textId="4C7CE153" w:rsidR="003C1FCD" w:rsidRPr="006A4D4F" w:rsidRDefault="003C1FCD" w:rsidP="00571B9E">
      <w:pPr>
        <w:pStyle w:val="Heading2"/>
        <w:rPr>
          <w:rFonts w:ascii="Roboto" w:hAnsi="Roboto"/>
          <w:b w:val="0"/>
          <w:bCs w:val="0"/>
          <w:caps/>
        </w:rPr>
      </w:pPr>
      <w:r w:rsidRPr="006A4D4F">
        <w:rPr>
          <w:rFonts w:ascii="Roboto" w:hAnsi="Roboto"/>
          <w:b w:val="0"/>
          <w:bCs w:val="0"/>
          <w:caps/>
        </w:rPr>
        <w:t xml:space="preserve">3.1 The ODRS as a </w:t>
      </w:r>
      <w:r w:rsidR="00725FE2" w:rsidRPr="006A4D4F">
        <w:rPr>
          <w:rFonts w:ascii="Roboto" w:hAnsi="Roboto"/>
          <w:b w:val="0"/>
          <w:bCs w:val="0"/>
          <w:caps/>
        </w:rPr>
        <w:t>Commitment</w:t>
      </w:r>
      <w:r w:rsidRPr="006A4D4F">
        <w:rPr>
          <w:rFonts w:ascii="Roboto" w:hAnsi="Roboto"/>
          <w:b w:val="0"/>
          <w:bCs w:val="0"/>
          <w:caps/>
        </w:rPr>
        <w:t xml:space="preserve"> Mechanism</w:t>
      </w:r>
    </w:p>
    <w:p w14:paraId="01015E5B" w14:textId="244C2D69" w:rsidR="00F02D43" w:rsidRPr="006A4D4F" w:rsidRDefault="00571B9E" w:rsidP="00F02D43">
      <w:pPr>
        <w:rPr>
          <w:rFonts w:ascii="Roboto Light" w:hAnsi="Roboto Light" w:cs="Arial"/>
          <w:color w:val="202426"/>
          <w:sz w:val="21"/>
          <w:szCs w:val="21"/>
        </w:rPr>
      </w:pPr>
      <w:r w:rsidRPr="006A4D4F">
        <w:rPr>
          <w:rFonts w:ascii="Roboto Light" w:hAnsi="Roboto Light" w:cs="Arial"/>
          <w:color w:val="202426"/>
          <w:sz w:val="21"/>
          <w:szCs w:val="21"/>
          <w:u w:val="single"/>
        </w:rPr>
        <w:t>The problem.</w:t>
      </w:r>
      <w:r w:rsidRPr="006A4D4F">
        <w:rPr>
          <w:rFonts w:ascii="Roboto Light" w:hAnsi="Roboto Light" w:cs="Arial"/>
          <w:color w:val="202426"/>
          <w:sz w:val="21"/>
          <w:szCs w:val="21"/>
        </w:rPr>
        <w:t xml:space="preserve"> </w:t>
      </w:r>
      <w:r w:rsidR="00F02D43" w:rsidRPr="006A4D4F">
        <w:rPr>
          <w:rFonts w:ascii="Roboto Light" w:hAnsi="Roboto Light" w:cs="Arial"/>
          <w:color w:val="202426"/>
          <w:sz w:val="21"/>
          <w:szCs w:val="21"/>
        </w:rPr>
        <w:t xml:space="preserve">A challenging feature of many national drug markets is that the innovator must invest heavily to bring a drug to the point of market approval, and </w:t>
      </w:r>
      <w:r w:rsidRPr="006A4D4F">
        <w:rPr>
          <w:rFonts w:ascii="Roboto Light" w:hAnsi="Roboto Light" w:cs="Arial"/>
          <w:color w:val="202426"/>
          <w:sz w:val="21"/>
          <w:szCs w:val="21"/>
        </w:rPr>
        <w:t xml:space="preserve">only </w:t>
      </w:r>
      <w:r w:rsidR="00F02D43" w:rsidRPr="006A4D4F">
        <w:rPr>
          <w:rFonts w:ascii="Roboto Light" w:hAnsi="Roboto Light" w:cs="Arial"/>
          <w:color w:val="202426"/>
          <w:sz w:val="21"/>
          <w:szCs w:val="21"/>
        </w:rPr>
        <w:t>then seek a price based on a health technology assessment. At that point, the bargaining power of the firm is quite weak: the drug development and approval costs are sunk. It will earn nothing from sales to the patients of an insurer if no agreement is reached over price. In contrast, the net benefit to the insurer from accepting a new drug into the formulary is likely to be small, given opportunity costs.</w:t>
      </w:r>
      <w:r w:rsidR="00163915" w:rsidRPr="006A4D4F">
        <w:rPr>
          <w:rFonts w:ascii="Roboto Light" w:hAnsi="Roboto Light" w:cs="Arial"/>
          <w:color w:val="202426"/>
          <w:sz w:val="21"/>
          <w:szCs w:val="21"/>
        </w:rPr>
        <w:t xml:space="preserve"> </w:t>
      </w:r>
      <w:r w:rsidR="007B05A6" w:rsidRPr="006A4D4F">
        <w:rPr>
          <w:rFonts w:ascii="Roboto Light" w:hAnsi="Roboto Light" w:cs="Arial"/>
          <w:color w:val="202426"/>
          <w:sz w:val="21"/>
          <w:szCs w:val="21"/>
        </w:rPr>
        <w:t>Moreover, insurers</w:t>
      </w:r>
      <w:r w:rsidR="004D514B" w:rsidRPr="006A4D4F">
        <w:rPr>
          <w:rFonts w:ascii="Roboto Light" w:hAnsi="Roboto Light" w:cs="Arial"/>
          <w:color w:val="202426"/>
          <w:sz w:val="21"/>
          <w:szCs w:val="21"/>
        </w:rPr>
        <w:t xml:space="preserve"> can exercise monopsony power, which result</w:t>
      </w:r>
      <w:r w:rsidR="002242DD" w:rsidRPr="006A4D4F">
        <w:rPr>
          <w:rFonts w:ascii="Roboto Light" w:hAnsi="Roboto Light" w:cs="Arial"/>
          <w:color w:val="202426"/>
          <w:sz w:val="21"/>
          <w:szCs w:val="21"/>
        </w:rPr>
        <w:t>s in strategic behaviour to reduce prices.</w:t>
      </w:r>
      <w:r w:rsidR="00FC6DFB" w:rsidRPr="006A4D4F">
        <w:rPr>
          <w:rFonts w:ascii="Roboto Light" w:hAnsi="Roboto Light" w:cs="Arial"/>
          <w:color w:val="202426"/>
          <w:sz w:val="21"/>
          <w:szCs w:val="21"/>
        </w:rPr>
        <w:t xml:space="preserve"> </w:t>
      </w:r>
      <w:r w:rsidR="00FC6DFB"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Moradpour","given":"Javad","non-dropping-particle":"","parse-names":false,"suffix":""},{"dropping-particle":"","family":"Hollis","given":"Aidan","non-dropping-particle":"","parse-names":false,"suffix":""}],"container-title":"Health Economics","id":"ITEM-1","issue":"5","issued":{"date-parts":[["2021"]]},"page":"1139-1151","publisher":"Wiley Online Library","title":"The economic theory of cost-effectiveness thresholds in health: Domestic and international implications","type":"article-journal","volume":"30"},"uris":["http://www.mendeley.com/documents/?uuid=52923233-df74-4c65-bae2-2d9f47429a0a"]}],"mendeley":{"formattedCitation":"(3)","plainTextFormattedCitation":"(3)","previouslyFormattedCitation":"(3)"},"properties":{"noteIndex":0},"schema":"https://github.com/citation-style-language/schema/raw/master/csl-citation.json"}</w:instrText>
      </w:r>
      <w:r w:rsidR="00FC6DFB"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(3)</w:t>
      </w:r>
      <w:r w:rsidR="00FC6DFB" w:rsidRPr="006A4D4F">
        <w:rPr>
          <w:rFonts w:ascii="Roboto Light" w:hAnsi="Roboto Light" w:cs="Arial"/>
          <w:color w:val="202426"/>
          <w:sz w:val="21"/>
          <w:szCs w:val="21"/>
        </w:rPr>
        <w:fldChar w:fldCharType="end"/>
      </w:r>
      <w:r w:rsidR="00F02D43" w:rsidRPr="006A4D4F">
        <w:rPr>
          <w:rFonts w:ascii="Roboto Light" w:hAnsi="Roboto Light" w:cs="Arial"/>
          <w:color w:val="202426"/>
          <w:sz w:val="21"/>
          <w:szCs w:val="21"/>
        </w:rPr>
        <w:t xml:space="preserve"> </w:t>
      </w:r>
      <w:r w:rsidR="00302155" w:rsidRPr="006A4D4F">
        <w:rPr>
          <w:rFonts w:ascii="Roboto Light" w:hAnsi="Roboto Light" w:cs="Arial"/>
          <w:color w:val="202426"/>
          <w:sz w:val="21"/>
          <w:szCs w:val="21"/>
        </w:rPr>
        <w:t>B</w:t>
      </w:r>
      <w:r w:rsidR="00F02D43" w:rsidRPr="006A4D4F">
        <w:rPr>
          <w:rFonts w:ascii="Roboto Light" w:hAnsi="Roboto Light" w:cs="Arial"/>
          <w:color w:val="202426"/>
          <w:sz w:val="21"/>
          <w:szCs w:val="21"/>
        </w:rPr>
        <w:t>uyers</w:t>
      </w:r>
      <w:r w:rsidR="00302155" w:rsidRPr="006A4D4F">
        <w:rPr>
          <w:rFonts w:ascii="Roboto Light" w:hAnsi="Roboto Light" w:cs="Arial"/>
          <w:color w:val="202426"/>
          <w:sz w:val="21"/>
          <w:szCs w:val="21"/>
        </w:rPr>
        <w:t xml:space="preserve"> are estimated to</w:t>
      </w:r>
      <w:r w:rsidR="00F02D43" w:rsidRPr="006A4D4F">
        <w:rPr>
          <w:rFonts w:ascii="Roboto Light" w:hAnsi="Roboto Light" w:cs="Arial"/>
          <w:color w:val="202426"/>
          <w:sz w:val="21"/>
          <w:szCs w:val="21"/>
        </w:rPr>
        <w:t xml:space="preserve"> hold 55% of the bargaining power, and </w:t>
      </w:r>
      <w:r w:rsidR="00302155" w:rsidRPr="006A4D4F">
        <w:rPr>
          <w:rFonts w:ascii="Roboto Light" w:hAnsi="Roboto Light" w:cs="Arial"/>
          <w:color w:val="202426"/>
          <w:sz w:val="21"/>
          <w:szCs w:val="21"/>
        </w:rPr>
        <w:t xml:space="preserve">it is apparent </w:t>
      </w:r>
      <w:r w:rsidR="00F02D43" w:rsidRPr="006A4D4F">
        <w:rPr>
          <w:rFonts w:ascii="Roboto Light" w:hAnsi="Roboto Light" w:cs="Arial"/>
          <w:color w:val="202426"/>
          <w:sz w:val="21"/>
          <w:szCs w:val="21"/>
        </w:rPr>
        <w:t>that buyer size and history can have a large impact on the prices paid.</w:t>
      </w:r>
      <w:r w:rsidR="00302155"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Linde","given":"Sebastian","non-dropping-particle":"","parse-names":false,"suffix":""},{"dropping-particle":"","family":"Norton","given":"Brandon","non-dropping-particle":"","parse-names":false,"suffix":""},{"dropping-particle":"","family":"Siebert","given":"Ralph","non-dropping-particle":"","parse-names":false,"suffix":""}],"container-title":"Available at SSRN 3507259","id":"ITEM-1","issued":{"date-parts":[["2019"]]},"title":"The effect of bargaining power determinants on pharmaceutical prices","type":"article-journal"},"uris":["http://www.mendeley.com/documents/?uuid=aceb9fd2-97e2-4c6c-b997-e292b1dd8e77"]},{"id":"ITEM-2","itemData":{"author":[{"dropping-particle":"","family":"Berdud","given":"M","non-dropping-particle":"","parse-names":false,"suffix":""},{"dropping-particle":"","family":"Ferraro","given":"J","non-dropping-particle":"","parse-names":false,"suffix":""},{"dropping-particle":"","family":"Towse","given":"A","non-dropping-particle":"","parse-names":false,"suffix":""}],"container-title":"OHE Consulting Report","id":"ITEM-2","issued":{"date-parts":[["2020"]]},"publisher-place":"London","title":"A theory on ICER pricing and optimal level of cost-effectiveness threshold: a bargaining approach","type":"report"},"uris":["http://www.mendeley.com/documents/?uuid=47513318-c50c-4457-9e9c-02bb08e55fb9"]}],"mendeley":{"formattedCitation":"(4,5)","plainTextFormattedCitation":"(4,5)","previouslyFormattedCitation":"(4,5)"},"properties":{"noteIndex":0},"schema":"https://github.com/citation-style-language/schema/raw/master/csl-citation.json"}</w:instrText>
      </w:r>
      <w:r w:rsidR="00302155"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(4,5)</w:t>
      </w:r>
      <w:r w:rsidR="00302155" w:rsidRPr="006A4D4F">
        <w:rPr>
          <w:rFonts w:ascii="Roboto Light" w:hAnsi="Roboto Light" w:cs="Arial"/>
          <w:color w:val="202426"/>
          <w:sz w:val="21"/>
          <w:szCs w:val="21"/>
        </w:rPr>
        <w:fldChar w:fldCharType="end"/>
      </w:r>
      <w:r w:rsidR="00F02D43" w:rsidRPr="006A4D4F">
        <w:rPr>
          <w:rFonts w:ascii="Roboto Light" w:hAnsi="Roboto Light" w:cs="Arial"/>
          <w:color w:val="202426"/>
          <w:sz w:val="21"/>
          <w:szCs w:val="21"/>
        </w:rPr>
        <w:t xml:space="preserve"> </w:t>
      </w:r>
    </w:p>
    <w:p w14:paraId="2D6D2F49" w14:textId="0BBBBCD1" w:rsidR="00562C96" w:rsidRPr="006A4D4F" w:rsidRDefault="00F02D43" w:rsidP="00D468D0">
      <w:pPr>
        <w:rPr>
          <w:rFonts w:ascii="Roboto Light" w:hAnsi="Roboto Light" w:cs="Arial"/>
          <w:color w:val="202426"/>
          <w:sz w:val="21"/>
          <w:szCs w:val="21"/>
        </w:rPr>
      </w:pPr>
      <w:r w:rsidRPr="006A4D4F">
        <w:rPr>
          <w:rFonts w:ascii="Roboto Light" w:hAnsi="Roboto Light" w:cs="Arial"/>
          <w:color w:val="202426"/>
          <w:sz w:val="21"/>
          <w:szCs w:val="21"/>
        </w:rPr>
        <w:t xml:space="preserve">To be concrete about the opportunism problem, </w:t>
      </w:r>
      <w:r w:rsidR="00D468D0" w:rsidRPr="006A4D4F">
        <w:rPr>
          <w:rFonts w:ascii="Roboto Light" w:hAnsi="Roboto Light" w:cs="Arial"/>
          <w:color w:val="202426"/>
          <w:sz w:val="21"/>
          <w:szCs w:val="21"/>
        </w:rPr>
        <w:t xml:space="preserve">consider a simple example. A firm believes that it will be profitable to invest in developing a new drug if it can obtain a price of at least $15,000 per QALY. The drug will have low production costs of $1,000 per QALY. The insurer has </w:t>
      </w:r>
      <w:r w:rsidRPr="006A4D4F">
        <w:rPr>
          <w:rFonts w:ascii="Roboto Light" w:hAnsi="Roboto Light" w:cs="Arial"/>
          <w:color w:val="202426"/>
          <w:sz w:val="21"/>
          <w:szCs w:val="21"/>
        </w:rPr>
        <w:t xml:space="preserve">a willingness to pay (WTP) per QALY of $20,000. </w:t>
      </w:r>
      <w:r w:rsidR="00D468D0" w:rsidRPr="006A4D4F">
        <w:rPr>
          <w:rFonts w:ascii="Roboto Light" w:hAnsi="Roboto Light" w:cs="Arial"/>
          <w:color w:val="202426"/>
          <w:sz w:val="21"/>
          <w:szCs w:val="21"/>
        </w:rPr>
        <w:t>Once the firm has developed the drug, R&amp;D costs are sunk and i</w:t>
      </w:r>
      <w:r w:rsidRPr="006A4D4F">
        <w:rPr>
          <w:rFonts w:ascii="Roboto Light" w:hAnsi="Roboto Light" w:cs="Arial"/>
          <w:color w:val="202426"/>
          <w:sz w:val="21"/>
          <w:szCs w:val="21"/>
        </w:rPr>
        <w:t xml:space="preserve">n principle, the Willingness to Accept (WTA) of the supplier </w:t>
      </w:r>
      <w:r w:rsidR="00D468D0" w:rsidRPr="006A4D4F">
        <w:rPr>
          <w:rFonts w:ascii="Roboto Light" w:hAnsi="Roboto Light" w:cs="Arial"/>
          <w:color w:val="202426"/>
          <w:sz w:val="21"/>
          <w:szCs w:val="21"/>
        </w:rPr>
        <w:t>is $1,000, just enough to cover production costs</w:t>
      </w:r>
      <w:r w:rsidRPr="006A4D4F">
        <w:rPr>
          <w:rFonts w:ascii="Roboto Light" w:hAnsi="Roboto Light" w:cs="Arial"/>
          <w:color w:val="202426"/>
          <w:sz w:val="21"/>
          <w:szCs w:val="21"/>
        </w:rPr>
        <w:t xml:space="preserve">.  In a negotiation, we would not normally expect the price to end up at $20,000. The Nash Bargaining Solution, assuming equal bargaining power, would be a price in the middle, at </w:t>
      </w:r>
      <w:r w:rsidRPr="006A4D4F">
        <w:rPr>
          <w:rFonts w:ascii="Roboto Light" w:hAnsi="Roboto Light" w:cs="Arial"/>
          <w:color w:val="202426"/>
          <w:sz w:val="21"/>
          <w:szCs w:val="21"/>
        </w:rPr>
        <w:lastRenderedPageBreak/>
        <w:t>$10,500.</w:t>
      </w:r>
      <w:r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Binmore","given":"Ken","non-dropping-particle":"","parse-names":false,"suffix":""},{"dropping-particle":"","family":"Rubinstein","given":"Ariel","non-dropping-particle":"","parse-names":false,"suffix":""},{"dropping-particle":"","family":"Wolinsky","given":"Asher","non-dropping-particle":"","parse-names":false,"suffix":""}],"container-title":"The RAND Journal of Economics","id":"ITEM-1","issued":{"date-parts":[["1986"]]},"page":"176-188","publisher":"JSTOR","title":"The Nash bargaining solution in economic modelling","type":"article-journal"},"uris":["http://www.mendeley.com/documents/?uuid=faa998c6-6e3b-4955-aba2-8d83197c6c48"]}],"mendeley":{"formattedCitation":"(6)","plainTextFormattedCitation":"(6)","previouslyFormattedCitation":"(6)"},"properties":{"noteIndex":0},"schema":"https://github.com/citation-style-language/schema/raw/master/csl-citation.json"}</w:instrText>
      </w:r>
      <w:r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(6)</w:t>
      </w:r>
      <w:r w:rsidRPr="006A4D4F">
        <w:rPr>
          <w:rFonts w:ascii="Roboto Light" w:hAnsi="Roboto Light" w:cs="Arial"/>
          <w:color w:val="202426"/>
          <w:sz w:val="21"/>
          <w:szCs w:val="21"/>
        </w:rPr>
        <w:fldChar w:fldCharType="end"/>
      </w:r>
      <w:r w:rsidRPr="006A4D4F">
        <w:rPr>
          <w:rFonts w:ascii="Roboto Light" w:hAnsi="Roboto Light" w:cs="Arial"/>
          <w:color w:val="202426"/>
          <w:sz w:val="21"/>
          <w:szCs w:val="21"/>
        </w:rPr>
        <w:t xml:space="preserve"> </w:t>
      </w:r>
      <w:r w:rsidR="00D468D0" w:rsidRPr="006A4D4F">
        <w:rPr>
          <w:rFonts w:ascii="Roboto Light" w:hAnsi="Roboto Light" w:cs="Arial"/>
          <w:color w:val="202426"/>
          <w:sz w:val="21"/>
          <w:szCs w:val="21"/>
        </w:rPr>
        <w:t xml:space="preserve">The firm, looking forward to its position after it has already invested in R&amp;D, </w:t>
      </w:r>
      <w:r w:rsidR="006C5510" w:rsidRPr="006A4D4F">
        <w:rPr>
          <w:rFonts w:ascii="Roboto Light" w:hAnsi="Roboto Light" w:cs="Arial"/>
          <w:color w:val="202426"/>
          <w:sz w:val="21"/>
          <w:szCs w:val="21"/>
        </w:rPr>
        <w:t>will not be willing to invest at all.</w:t>
      </w:r>
      <w:r w:rsidRPr="006A4D4F">
        <w:rPr>
          <w:rFonts w:ascii="Roboto Light" w:hAnsi="Roboto Light" w:cs="Arial"/>
          <w:color w:val="202426"/>
          <w:sz w:val="21"/>
          <w:szCs w:val="21"/>
        </w:rPr>
        <w:t xml:space="preserve"> The problem here is that the negotiation takes place </w:t>
      </w:r>
      <w:r w:rsidRPr="006A4D4F">
        <w:rPr>
          <w:rFonts w:ascii="Roboto Light" w:hAnsi="Roboto Light" w:cs="Arial"/>
          <w:i/>
          <w:iCs/>
          <w:color w:val="202426"/>
          <w:sz w:val="21"/>
          <w:szCs w:val="21"/>
        </w:rPr>
        <w:t>after</w:t>
      </w:r>
      <w:r w:rsidRPr="006A4D4F">
        <w:rPr>
          <w:rFonts w:ascii="Roboto Light" w:hAnsi="Roboto Light" w:cs="Arial"/>
          <w:color w:val="202426"/>
          <w:sz w:val="21"/>
          <w:szCs w:val="21"/>
        </w:rPr>
        <w:t xml:space="preserve"> the innovator has already invested. Given the willingness to pay of $20,000, the insurer should welcome innovations that can be commercialized for a price per QALY under $20,000; but it will not obtain those innovations, since firm will anticipate opportunistic behaviour by the insurer after the firms have already invested. </w:t>
      </w:r>
    </w:p>
    <w:p w14:paraId="5D37E1BE" w14:textId="5F214816" w:rsidR="008E239E" w:rsidRPr="006A4D4F" w:rsidRDefault="008E239E" w:rsidP="00F02D43">
      <w:pPr>
        <w:rPr>
          <w:rFonts w:ascii="Roboto Light" w:hAnsi="Roboto Light" w:cs="Arial"/>
          <w:color w:val="202426"/>
          <w:sz w:val="21"/>
          <w:szCs w:val="21"/>
        </w:rPr>
      </w:pPr>
      <w:r w:rsidRPr="006A4D4F">
        <w:rPr>
          <w:rFonts w:ascii="Roboto Light" w:hAnsi="Roboto Light" w:cs="Arial"/>
          <w:color w:val="202426"/>
          <w:sz w:val="21"/>
          <w:szCs w:val="21"/>
        </w:rPr>
        <w:t xml:space="preserve">Moreover, at an international level there is </w:t>
      </w:r>
      <w:r w:rsidR="00442D18" w:rsidRPr="006A4D4F">
        <w:rPr>
          <w:rFonts w:ascii="Roboto Light" w:hAnsi="Roboto Light" w:cs="Arial"/>
          <w:color w:val="202426"/>
          <w:sz w:val="21"/>
          <w:szCs w:val="21"/>
        </w:rPr>
        <w:t xml:space="preserve">the </w:t>
      </w:r>
      <w:r w:rsidRPr="006A4D4F">
        <w:rPr>
          <w:rFonts w:ascii="Roboto Light" w:hAnsi="Roboto Light" w:cs="Arial"/>
          <w:color w:val="202426"/>
          <w:sz w:val="21"/>
          <w:szCs w:val="21"/>
        </w:rPr>
        <w:t xml:space="preserve">problem of </w:t>
      </w:r>
      <w:r w:rsidR="00442D18" w:rsidRPr="006A4D4F">
        <w:rPr>
          <w:rFonts w:ascii="Roboto Light" w:hAnsi="Roboto Light" w:cs="Arial"/>
          <w:color w:val="202426"/>
          <w:sz w:val="21"/>
          <w:szCs w:val="21"/>
        </w:rPr>
        <w:t>free riding</w:t>
      </w:r>
      <w:r w:rsidRPr="006A4D4F">
        <w:rPr>
          <w:rFonts w:ascii="Roboto Light" w:hAnsi="Roboto Light" w:cs="Arial"/>
          <w:color w:val="202426"/>
          <w:sz w:val="21"/>
          <w:szCs w:val="21"/>
        </w:rPr>
        <w:t xml:space="preserve"> on high prices in other countries. </w:t>
      </w:r>
      <w:r w:rsidR="00442D18" w:rsidRPr="006A4D4F">
        <w:rPr>
          <w:rFonts w:ascii="Roboto Light" w:hAnsi="Roboto Light" w:cs="Arial"/>
          <w:color w:val="202426"/>
          <w:sz w:val="21"/>
          <w:szCs w:val="21"/>
        </w:rPr>
        <w:t>T</w:t>
      </w:r>
      <w:r w:rsidRPr="006A4D4F">
        <w:rPr>
          <w:rFonts w:ascii="Roboto Light" w:hAnsi="Roboto Light" w:cs="Arial"/>
          <w:color w:val="202426"/>
          <w:sz w:val="21"/>
          <w:szCs w:val="21"/>
        </w:rPr>
        <w:t xml:space="preserve">he incentives to support research through high prices in any given country are weak, since each country’s individual influence on the course of research globally is relatively small. A similar problem occurred in innovation generally, and this was resolved through the World Trade Organization’s agreement on Trade-Related Aspects of Intellectual Property Rights (TRIPS), through which each country committed to a minimum patent standard of 20 years. While this agreement has been broadly effective in supporting innovation, its application to pharmaceuticals has been impaired through monopsony power of insurers in bargaining down prices. From the perspective of an investor in an innovative firm, a 20-year patent is not much good if the price is depressed. (For consumer goods in which private choice determines demand, the same problem does not arise: an individual consumer cannot push </w:t>
      </w:r>
      <w:r w:rsidR="00442D18" w:rsidRPr="006A4D4F">
        <w:rPr>
          <w:rFonts w:ascii="Roboto Light" w:hAnsi="Roboto Light" w:cs="Arial"/>
          <w:color w:val="202426"/>
          <w:sz w:val="21"/>
          <w:szCs w:val="21"/>
        </w:rPr>
        <w:t xml:space="preserve">the </w:t>
      </w:r>
      <w:r w:rsidRPr="006A4D4F">
        <w:rPr>
          <w:rFonts w:ascii="Roboto Light" w:hAnsi="Roboto Light" w:cs="Arial"/>
          <w:color w:val="202426"/>
          <w:sz w:val="21"/>
          <w:szCs w:val="21"/>
        </w:rPr>
        <w:t xml:space="preserve">price down. </w:t>
      </w:r>
      <w:r w:rsidR="00442D18" w:rsidRPr="006A4D4F">
        <w:rPr>
          <w:rFonts w:ascii="Roboto Light" w:hAnsi="Roboto Light" w:cs="Arial"/>
          <w:color w:val="202426"/>
          <w:sz w:val="21"/>
          <w:szCs w:val="21"/>
        </w:rPr>
        <w:t>T</w:t>
      </w:r>
      <w:r w:rsidRPr="006A4D4F">
        <w:rPr>
          <w:rFonts w:ascii="Roboto Light" w:hAnsi="Roboto Light" w:cs="Arial"/>
          <w:color w:val="202426"/>
          <w:sz w:val="21"/>
          <w:szCs w:val="21"/>
        </w:rPr>
        <w:t>he problem of opportunism by insurers arises because they can exercise monopsony power in the markets in which they operate.)</w:t>
      </w:r>
    </w:p>
    <w:p w14:paraId="2327B720" w14:textId="68DED4DD" w:rsidR="002D59CD" w:rsidRPr="006A4D4F" w:rsidRDefault="00074886" w:rsidP="00F02D43">
      <w:pPr>
        <w:rPr>
          <w:rFonts w:ascii="Roboto Light" w:hAnsi="Roboto Light" w:cs="Arial"/>
          <w:color w:val="202426"/>
          <w:sz w:val="21"/>
          <w:szCs w:val="21"/>
        </w:rPr>
      </w:pPr>
      <w:r w:rsidRPr="006A4D4F">
        <w:rPr>
          <w:rFonts w:ascii="Roboto Light" w:hAnsi="Roboto Light" w:cs="Arial"/>
          <w:color w:val="202426"/>
          <w:sz w:val="21"/>
          <w:szCs w:val="21"/>
        </w:rPr>
        <w:t xml:space="preserve">In </w:t>
      </w:r>
      <w:r w:rsidR="00751D98" w:rsidRPr="006A4D4F">
        <w:rPr>
          <w:rFonts w:ascii="Roboto Light" w:hAnsi="Roboto Light" w:cs="Arial"/>
          <w:color w:val="202426"/>
          <w:sz w:val="21"/>
          <w:szCs w:val="21"/>
        </w:rPr>
        <w:t xml:space="preserve">principle, </w:t>
      </w:r>
      <w:r w:rsidR="00302155" w:rsidRPr="006A4D4F">
        <w:rPr>
          <w:rFonts w:ascii="Roboto Light" w:hAnsi="Roboto Light" w:cs="Arial"/>
          <w:color w:val="202426"/>
          <w:sz w:val="21"/>
          <w:szCs w:val="21"/>
        </w:rPr>
        <w:t xml:space="preserve">in the example above, </w:t>
      </w:r>
      <w:r w:rsidR="00751D98" w:rsidRPr="006A4D4F">
        <w:rPr>
          <w:rFonts w:ascii="Roboto Light" w:hAnsi="Roboto Light" w:cs="Arial"/>
          <w:color w:val="202426"/>
          <w:sz w:val="21"/>
          <w:szCs w:val="21"/>
        </w:rPr>
        <w:t xml:space="preserve">the insurer </w:t>
      </w:r>
      <w:r w:rsidR="00302155" w:rsidRPr="006A4D4F">
        <w:rPr>
          <w:rFonts w:ascii="Roboto Light" w:hAnsi="Roboto Light" w:cs="Arial"/>
          <w:color w:val="202426"/>
          <w:sz w:val="21"/>
          <w:szCs w:val="21"/>
        </w:rPr>
        <w:t>could</w:t>
      </w:r>
      <w:r w:rsidR="00751D98" w:rsidRPr="006A4D4F">
        <w:rPr>
          <w:rFonts w:ascii="Roboto Light" w:hAnsi="Roboto Light" w:cs="Arial"/>
          <w:color w:val="202426"/>
          <w:sz w:val="21"/>
          <w:szCs w:val="21"/>
        </w:rPr>
        <w:t xml:space="preserve"> </w:t>
      </w:r>
      <w:r w:rsidR="00D43F6C" w:rsidRPr="006A4D4F">
        <w:rPr>
          <w:rFonts w:ascii="Roboto Light" w:hAnsi="Roboto Light" w:cs="Arial"/>
          <w:color w:val="202426"/>
          <w:sz w:val="21"/>
          <w:szCs w:val="21"/>
        </w:rPr>
        <w:t>create efficient incentive</w:t>
      </w:r>
      <w:r w:rsidR="00EC0CA2" w:rsidRPr="006A4D4F">
        <w:rPr>
          <w:rFonts w:ascii="Roboto Light" w:hAnsi="Roboto Light" w:cs="Arial"/>
          <w:color w:val="202426"/>
          <w:sz w:val="21"/>
          <w:szCs w:val="21"/>
        </w:rPr>
        <w:t xml:space="preserve">s for </w:t>
      </w:r>
      <w:r w:rsidR="00032793" w:rsidRPr="006A4D4F">
        <w:rPr>
          <w:rFonts w:ascii="Roboto Light" w:hAnsi="Roboto Light" w:cs="Arial"/>
          <w:color w:val="202426"/>
          <w:sz w:val="21"/>
          <w:szCs w:val="21"/>
        </w:rPr>
        <w:t>investment in innovation by committing to a price of $20,000.</w:t>
      </w:r>
      <w:r w:rsidR="003B6906" w:rsidRPr="006A4D4F">
        <w:rPr>
          <w:rFonts w:ascii="Roboto Light" w:hAnsi="Roboto Light" w:cs="Arial"/>
          <w:color w:val="202426"/>
          <w:sz w:val="21"/>
          <w:szCs w:val="21"/>
        </w:rPr>
        <w:t xml:space="preserve"> However, as described above, short-run incentives to get low prices conflict wit</w:t>
      </w:r>
      <w:r w:rsidR="00805DDF" w:rsidRPr="006A4D4F">
        <w:rPr>
          <w:rFonts w:ascii="Roboto Light" w:hAnsi="Roboto Light" w:cs="Arial"/>
          <w:color w:val="202426"/>
          <w:sz w:val="21"/>
          <w:szCs w:val="21"/>
        </w:rPr>
        <w:t xml:space="preserve">h this long-run goal of supporting innovation. </w:t>
      </w:r>
      <w:r w:rsidR="005F5DEB" w:rsidRPr="006A4D4F">
        <w:rPr>
          <w:rFonts w:ascii="Roboto Light" w:hAnsi="Roboto Light" w:cs="Arial"/>
          <w:color w:val="202426"/>
          <w:sz w:val="21"/>
          <w:szCs w:val="21"/>
        </w:rPr>
        <w:t>Indeed, to an increasing extent, insurers are using confidential price negotiations to set real prices far below nominal public prices.</w:t>
      </w:r>
      <w:r w:rsidR="005F5DEB"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{"citationItems":[{"id":"ITEM-1","itemData":{"author":[{"dropping-particle":"","family":"Morgan","given":"Steven G","non-dropping-particle":"","parse-names":false,"suffix":""},{"dropping-particle":"","family":"Vogler","given":"Sabine","non-dropping-particle":"","parse-names":false,"suffix":""},{"dropping-particle":"","family":"Wagner","given":"Anita K","non-dropping-particle":"","parse-names":false,"suffix":""}],"container-title":"Health Policy","id":"ITEM-1","issue":"4","issued":{"date-parts":[["2017"]]},"page":"354-362","publisher":"Elsevier","title":"Payers’ experiences with confidential pharmaceutical price discounts: a survey of public and statutory health systems in North America, Europe, and Australasia","type":"article-journal","volume":"121"},"uris":["http://www.mendeley.com/documents/?uuid=1d1d633b-e11e-4814-9d5d-2d748c31a2fc"]}],"mendeley":{"formattedCitation":"(7)","plainTextFormattedCitation":"(7)","previouslyFormattedCitation":"(7)"},"properties":{"noteIndex":0},"schema":"https://github.com/citation-style-language/schema/raw/master/csl-citation.json"}</w:instrText>
      </w:r>
      <w:r w:rsidR="005F5DEB"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(7)</w:t>
      </w:r>
      <w:r w:rsidR="005F5DEB" w:rsidRPr="006A4D4F">
        <w:rPr>
          <w:rFonts w:ascii="Roboto Light" w:hAnsi="Roboto Light" w:cs="Arial"/>
          <w:color w:val="202426"/>
          <w:sz w:val="21"/>
          <w:szCs w:val="21"/>
        </w:rPr>
        <w:fldChar w:fldCharType="end"/>
      </w:r>
      <w:r w:rsidR="005F5DEB" w:rsidRPr="006A4D4F">
        <w:rPr>
          <w:rFonts w:ascii="Roboto Light" w:hAnsi="Roboto Light" w:cs="Arial"/>
          <w:color w:val="202426"/>
          <w:sz w:val="21"/>
          <w:szCs w:val="21"/>
        </w:rPr>
        <w:t xml:space="preserve"> This means that it is increasingly difficult for firms to know what prices are being paid, and increasingly difficult for insurers to earn a reputation as offering a fair </w:t>
      </w:r>
      <w:r w:rsidR="00E04C68" w:rsidRPr="006A4D4F">
        <w:rPr>
          <w:rFonts w:ascii="Roboto Light" w:hAnsi="Roboto Light" w:cs="Arial"/>
          <w:color w:val="202426"/>
          <w:sz w:val="21"/>
          <w:szCs w:val="21"/>
        </w:rPr>
        <w:t>price</w:t>
      </w:r>
      <w:r w:rsidR="005F5DEB" w:rsidRPr="006A4D4F">
        <w:rPr>
          <w:rFonts w:ascii="Roboto Light" w:hAnsi="Roboto Light" w:cs="Arial"/>
          <w:color w:val="202426"/>
          <w:sz w:val="21"/>
          <w:szCs w:val="21"/>
        </w:rPr>
        <w:t>.</w:t>
      </w:r>
      <w:r w:rsidR="006C5510" w:rsidRPr="006A4D4F">
        <w:rPr>
          <w:rFonts w:ascii="Roboto Light" w:hAnsi="Roboto Light" w:cs="Arial"/>
          <w:color w:val="202426"/>
          <w:sz w:val="21"/>
          <w:szCs w:val="21"/>
        </w:rPr>
        <w:t xml:space="preserve"> </w:t>
      </w:r>
      <w:r w:rsidR="00805DDF" w:rsidRPr="006A4D4F">
        <w:rPr>
          <w:rFonts w:ascii="Roboto Light" w:hAnsi="Roboto Light" w:cs="Arial"/>
          <w:color w:val="202426"/>
          <w:sz w:val="21"/>
          <w:szCs w:val="21"/>
        </w:rPr>
        <w:t xml:space="preserve">The </w:t>
      </w:r>
      <w:r w:rsidR="006D6086" w:rsidRPr="006A4D4F">
        <w:rPr>
          <w:rFonts w:ascii="Roboto Light" w:hAnsi="Roboto Light" w:cs="Arial"/>
          <w:color w:val="202426"/>
          <w:sz w:val="21"/>
          <w:szCs w:val="21"/>
        </w:rPr>
        <w:t xml:space="preserve">reliance on confidential prices </w:t>
      </w:r>
      <w:r w:rsidR="00BA3659" w:rsidRPr="006A4D4F">
        <w:rPr>
          <w:rFonts w:ascii="Roboto Light" w:hAnsi="Roboto Light" w:cs="Arial"/>
          <w:color w:val="202426"/>
          <w:sz w:val="21"/>
          <w:szCs w:val="21"/>
        </w:rPr>
        <w:t>internationally has aggravated the problems of opportunism</w:t>
      </w:r>
      <w:r w:rsidR="00EB1663" w:rsidRPr="006A4D4F">
        <w:rPr>
          <w:rFonts w:ascii="Roboto Light" w:hAnsi="Roboto Light" w:cs="Arial"/>
          <w:color w:val="202426"/>
          <w:sz w:val="21"/>
          <w:szCs w:val="21"/>
        </w:rPr>
        <w:t xml:space="preserve"> since</w:t>
      </w:r>
      <w:r w:rsidR="00890968" w:rsidRPr="006A4D4F">
        <w:rPr>
          <w:rFonts w:ascii="Roboto Light" w:hAnsi="Roboto Light" w:cs="Arial"/>
          <w:color w:val="202426"/>
          <w:sz w:val="21"/>
          <w:szCs w:val="21"/>
        </w:rPr>
        <w:t>, with confidential pricing,</w:t>
      </w:r>
      <w:r w:rsidR="00EB1663" w:rsidRPr="006A4D4F">
        <w:rPr>
          <w:rFonts w:ascii="Roboto Light" w:hAnsi="Roboto Light" w:cs="Arial"/>
          <w:color w:val="202426"/>
          <w:sz w:val="21"/>
          <w:szCs w:val="21"/>
        </w:rPr>
        <w:t xml:space="preserve"> it has become impossible for insurers to signal their willingness to pay. </w:t>
      </w:r>
    </w:p>
    <w:p w14:paraId="40E17246" w14:textId="7A574356" w:rsidR="002968DF" w:rsidRPr="006A4D4F" w:rsidRDefault="00571B9E" w:rsidP="006E4568">
      <w:pPr>
        <w:rPr>
          <w:rFonts w:ascii="Roboto Light" w:hAnsi="Roboto Light" w:cs="Arial"/>
          <w:color w:val="202426"/>
          <w:sz w:val="21"/>
          <w:szCs w:val="21"/>
        </w:rPr>
      </w:pPr>
      <w:r w:rsidRPr="006A4D4F">
        <w:rPr>
          <w:rFonts w:ascii="Roboto Light" w:hAnsi="Roboto Light" w:cs="Arial"/>
          <w:color w:val="202426"/>
          <w:sz w:val="21"/>
          <w:szCs w:val="21"/>
          <w:u w:val="single"/>
        </w:rPr>
        <w:t>ODRS as a solution.</w:t>
      </w:r>
      <w:r w:rsidRPr="006A4D4F">
        <w:rPr>
          <w:rFonts w:ascii="Roboto Light" w:hAnsi="Roboto Light" w:cs="Arial"/>
          <w:b/>
          <w:bCs/>
          <w:color w:val="202426"/>
          <w:sz w:val="21"/>
          <w:szCs w:val="21"/>
        </w:rPr>
        <w:t xml:space="preserve"> </w:t>
      </w:r>
      <w:r w:rsidR="00F02D43" w:rsidRPr="006A4D4F">
        <w:rPr>
          <w:rFonts w:ascii="Roboto Medium" w:hAnsi="Roboto Medium" w:cs="Arial"/>
          <w:color w:val="202426"/>
          <w:sz w:val="21"/>
          <w:szCs w:val="21"/>
        </w:rPr>
        <w:t>Commitment</w:t>
      </w:r>
      <w:r w:rsidR="00F02D43" w:rsidRPr="006A4D4F">
        <w:rPr>
          <w:rFonts w:ascii="Roboto Light" w:hAnsi="Roboto Light" w:cs="Arial"/>
          <w:color w:val="202426"/>
          <w:sz w:val="21"/>
          <w:szCs w:val="21"/>
        </w:rPr>
        <w:t xml:space="preserve"> is the key contribution of the ODRS in this context.</w:t>
      </w:r>
      <w:r w:rsidR="00A05CDF" w:rsidRPr="006A4D4F">
        <w:rPr>
          <w:rFonts w:ascii="Roboto Light" w:hAnsi="Roboto Light" w:cs="Arial"/>
          <w:color w:val="202426"/>
          <w:sz w:val="21"/>
          <w:szCs w:val="21"/>
        </w:rPr>
        <w:t xml:space="preserve"> </w:t>
      </w:r>
      <w:r w:rsidR="009F6A4C" w:rsidRPr="006A4D4F">
        <w:rPr>
          <w:rFonts w:ascii="Roboto Light" w:hAnsi="Roboto Light" w:cs="Arial"/>
          <w:color w:val="202426"/>
          <w:sz w:val="21"/>
          <w:szCs w:val="21"/>
        </w:rPr>
        <w:t>B</w:t>
      </w:r>
      <w:r w:rsidR="009076E9" w:rsidRPr="006A4D4F">
        <w:rPr>
          <w:rFonts w:ascii="Roboto Light" w:hAnsi="Roboto Light" w:cs="Arial"/>
          <w:color w:val="202426"/>
          <w:sz w:val="21"/>
          <w:szCs w:val="21"/>
        </w:rPr>
        <w:t xml:space="preserve">y </w:t>
      </w:r>
      <w:r w:rsidR="00995CA5" w:rsidRPr="006A4D4F">
        <w:rPr>
          <w:rFonts w:ascii="Roboto Light" w:hAnsi="Roboto Light" w:cs="Arial"/>
          <w:color w:val="202426"/>
          <w:sz w:val="21"/>
          <w:szCs w:val="21"/>
        </w:rPr>
        <w:t xml:space="preserve">publicly </w:t>
      </w:r>
      <w:r w:rsidR="009076E9" w:rsidRPr="006A4D4F">
        <w:rPr>
          <w:rFonts w:ascii="Roboto Light" w:hAnsi="Roboto Light" w:cs="Arial"/>
          <w:color w:val="202426"/>
          <w:sz w:val="21"/>
          <w:szCs w:val="21"/>
        </w:rPr>
        <w:t xml:space="preserve">establishing a </w:t>
      </w:r>
      <w:r w:rsidR="008E33DC" w:rsidRPr="006A4D4F">
        <w:rPr>
          <w:rFonts w:ascii="Roboto Light" w:hAnsi="Roboto Light" w:cs="Arial"/>
          <w:color w:val="202426"/>
          <w:sz w:val="21"/>
          <w:szCs w:val="21"/>
        </w:rPr>
        <w:t>standard</w:t>
      </w:r>
      <w:r w:rsidR="009076E9" w:rsidRPr="006A4D4F">
        <w:rPr>
          <w:rFonts w:ascii="Roboto Light" w:hAnsi="Roboto Light" w:cs="Arial"/>
          <w:color w:val="202426"/>
          <w:sz w:val="21"/>
          <w:szCs w:val="21"/>
        </w:rPr>
        <w:t xml:space="preserve"> </w:t>
      </w:r>
      <w:r w:rsidR="00432407" w:rsidRPr="006A4D4F">
        <w:rPr>
          <w:rFonts w:ascii="Roboto Light" w:hAnsi="Roboto Light" w:cs="Arial"/>
          <w:color w:val="202426"/>
          <w:sz w:val="21"/>
          <w:szCs w:val="21"/>
        </w:rPr>
        <w:t>payment per QALY, the ODRS would help in</w:t>
      </w:r>
      <w:r w:rsidR="00C330CB" w:rsidRPr="006A4D4F">
        <w:rPr>
          <w:rFonts w:ascii="Roboto Light" w:hAnsi="Roboto Light" w:cs="Arial"/>
          <w:color w:val="202426"/>
          <w:sz w:val="21"/>
          <w:szCs w:val="21"/>
        </w:rPr>
        <w:t xml:space="preserve">vestors to know the </w:t>
      </w:r>
      <w:r w:rsidR="001405C2" w:rsidRPr="006A4D4F">
        <w:rPr>
          <w:rFonts w:ascii="Roboto Light" w:hAnsi="Roboto Light" w:cs="Arial"/>
          <w:color w:val="202426"/>
          <w:sz w:val="21"/>
          <w:szCs w:val="21"/>
        </w:rPr>
        <w:t>minimum reward that they could expect. In effect, g</w:t>
      </w:r>
      <w:r w:rsidR="006E4568" w:rsidRPr="006A4D4F">
        <w:rPr>
          <w:rFonts w:ascii="Roboto Light" w:hAnsi="Roboto Light" w:cs="Arial"/>
          <w:color w:val="202426"/>
          <w:sz w:val="21"/>
          <w:szCs w:val="21"/>
        </w:rPr>
        <w:t xml:space="preserve">iving firms a choice protects them: if they don’t feel that the </w:t>
      </w:r>
      <w:proofErr w:type="gramStart"/>
      <w:r w:rsidR="006E4568" w:rsidRPr="006A4D4F">
        <w:rPr>
          <w:rFonts w:ascii="Roboto Light" w:hAnsi="Roboto Light" w:cs="Arial"/>
          <w:color w:val="202426"/>
          <w:sz w:val="21"/>
          <w:szCs w:val="21"/>
        </w:rPr>
        <w:t>price</w:t>
      </w:r>
      <w:proofErr w:type="gramEnd"/>
      <w:r w:rsidR="006E4568" w:rsidRPr="006A4D4F">
        <w:rPr>
          <w:rFonts w:ascii="Roboto Light" w:hAnsi="Roboto Light" w:cs="Arial"/>
          <w:color w:val="202426"/>
          <w:sz w:val="21"/>
          <w:szCs w:val="21"/>
        </w:rPr>
        <w:t xml:space="preserve"> they can negotiate with insurers is fair, they can turn to the ODRS as a </w:t>
      </w:r>
      <w:r w:rsidR="006E4568" w:rsidRPr="006A4D4F">
        <w:rPr>
          <w:rFonts w:ascii="Roboto Medium" w:hAnsi="Roboto Medium" w:cs="Arial"/>
          <w:color w:val="202426"/>
          <w:sz w:val="21"/>
          <w:szCs w:val="21"/>
        </w:rPr>
        <w:t>backstop</w:t>
      </w:r>
      <w:r w:rsidR="006E4568" w:rsidRPr="006A4D4F">
        <w:rPr>
          <w:rFonts w:ascii="Roboto Light" w:hAnsi="Roboto Light" w:cs="Arial"/>
          <w:color w:val="202426"/>
          <w:sz w:val="21"/>
          <w:szCs w:val="21"/>
        </w:rPr>
        <w:t xml:space="preserve">. </w:t>
      </w:r>
      <w:r w:rsidR="00B27008" w:rsidRPr="006A4D4F">
        <w:rPr>
          <w:rFonts w:ascii="Roboto Light" w:hAnsi="Roboto Light" w:cs="Arial"/>
          <w:color w:val="202426"/>
          <w:sz w:val="21"/>
          <w:szCs w:val="21"/>
        </w:rPr>
        <w:t>To b</w:t>
      </w:r>
      <w:r w:rsidR="003A2A05" w:rsidRPr="006A4D4F">
        <w:rPr>
          <w:rFonts w:ascii="Roboto Light" w:hAnsi="Roboto Light" w:cs="Arial"/>
          <w:color w:val="202426"/>
          <w:sz w:val="21"/>
          <w:szCs w:val="21"/>
        </w:rPr>
        <w:t>e sure, for the ODRS to be effective in this role, it needs to be adequately financed</w:t>
      </w:r>
      <w:r w:rsidR="0078241D" w:rsidRPr="006A4D4F">
        <w:rPr>
          <w:rFonts w:ascii="Roboto Light" w:hAnsi="Roboto Light" w:cs="Arial"/>
          <w:color w:val="202426"/>
          <w:sz w:val="21"/>
          <w:szCs w:val="21"/>
        </w:rPr>
        <w:t xml:space="preserve">. </w:t>
      </w:r>
      <w:r w:rsidR="002B5B13" w:rsidRPr="006A4D4F">
        <w:rPr>
          <w:rFonts w:ascii="Roboto Light" w:hAnsi="Roboto Light" w:cs="Arial"/>
          <w:color w:val="202426"/>
          <w:sz w:val="21"/>
          <w:szCs w:val="21"/>
        </w:rPr>
        <w:t xml:space="preserve">But the key point here is that </w:t>
      </w:r>
      <w:r w:rsidR="00282E00" w:rsidRPr="006A4D4F">
        <w:rPr>
          <w:rFonts w:ascii="Roboto Light" w:hAnsi="Roboto Light" w:cs="Arial"/>
          <w:color w:val="202426"/>
          <w:sz w:val="21"/>
          <w:szCs w:val="21"/>
        </w:rPr>
        <w:t>in the long</w:t>
      </w:r>
      <w:r w:rsidR="00302155" w:rsidRPr="006A4D4F">
        <w:rPr>
          <w:rFonts w:ascii="Roboto Light" w:hAnsi="Roboto Light" w:cs="Arial"/>
          <w:color w:val="202426"/>
          <w:sz w:val="21"/>
          <w:szCs w:val="21"/>
        </w:rPr>
        <w:t xml:space="preserve"> </w:t>
      </w:r>
      <w:r w:rsidR="00282E00" w:rsidRPr="006A4D4F">
        <w:rPr>
          <w:rFonts w:ascii="Roboto Light" w:hAnsi="Roboto Light" w:cs="Arial"/>
          <w:color w:val="202426"/>
          <w:sz w:val="21"/>
          <w:szCs w:val="21"/>
        </w:rPr>
        <w:t xml:space="preserve">run, offering a fair </w:t>
      </w:r>
      <w:r w:rsidR="00890655" w:rsidRPr="006A4D4F">
        <w:rPr>
          <w:rFonts w:ascii="Roboto Light" w:hAnsi="Roboto Light" w:cs="Arial"/>
          <w:color w:val="202426"/>
          <w:sz w:val="21"/>
          <w:szCs w:val="21"/>
        </w:rPr>
        <w:t>reward</w:t>
      </w:r>
      <w:r w:rsidR="00282E00" w:rsidRPr="006A4D4F">
        <w:rPr>
          <w:rFonts w:ascii="Roboto Light" w:hAnsi="Roboto Light" w:cs="Arial"/>
          <w:color w:val="202426"/>
          <w:sz w:val="21"/>
          <w:szCs w:val="21"/>
        </w:rPr>
        <w:t xml:space="preserve"> to innovators is </w:t>
      </w:r>
      <w:r w:rsidR="00302155" w:rsidRPr="006A4D4F">
        <w:rPr>
          <w:rFonts w:ascii="Roboto Light" w:hAnsi="Roboto Light" w:cs="Arial"/>
          <w:color w:val="202426"/>
          <w:sz w:val="21"/>
          <w:szCs w:val="21"/>
        </w:rPr>
        <w:t>crucial</w:t>
      </w:r>
      <w:r w:rsidR="00282E00" w:rsidRPr="006A4D4F">
        <w:rPr>
          <w:rFonts w:ascii="Roboto Light" w:hAnsi="Roboto Light" w:cs="Arial"/>
          <w:color w:val="202426"/>
          <w:sz w:val="21"/>
          <w:szCs w:val="21"/>
        </w:rPr>
        <w:t xml:space="preserve"> to supporting investment in </w:t>
      </w:r>
      <w:r w:rsidR="00332950" w:rsidRPr="006A4D4F">
        <w:rPr>
          <w:rFonts w:ascii="Roboto Light" w:hAnsi="Roboto Light" w:cs="Arial"/>
          <w:color w:val="202426"/>
          <w:sz w:val="21"/>
          <w:szCs w:val="21"/>
        </w:rPr>
        <w:t>innovation.</w:t>
      </w:r>
      <w:r w:rsidR="00650676" w:rsidRPr="006A4D4F">
        <w:rPr>
          <w:rFonts w:ascii="Roboto Light" w:hAnsi="Roboto Light" w:cs="Arial"/>
          <w:color w:val="202426"/>
          <w:sz w:val="21"/>
          <w:szCs w:val="21"/>
        </w:rPr>
        <w:t xml:space="preserve"> The ODRS offers a novel way to provide this financi</w:t>
      </w:r>
      <w:r w:rsidR="002218E2" w:rsidRPr="006A4D4F">
        <w:rPr>
          <w:rFonts w:ascii="Roboto Light" w:hAnsi="Roboto Light" w:cs="Arial"/>
          <w:color w:val="202426"/>
          <w:sz w:val="21"/>
          <w:szCs w:val="21"/>
        </w:rPr>
        <w:t xml:space="preserve">al support. </w:t>
      </w:r>
    </w:p>
    <w:p w14:paraId="03AED53A" w14:textId="77777777" w:rsidR="00F02D43" w:rsidRPr="006A4D4F" w:rsidRDefault="00F02D43" w:rsidP="00571B9E">
      <w:pPr>
        <w:pStyle w:val="Heading2"/>
        <w:rPr>
          <w:rFonts w:ascii="Roboto" w:hAnsi="Roboto"/>
          <w:b w:val="0"/>
          <w:bCs w:val="0"/>
          <w:caps/>
        </w:rPr>
      </w:pPr>
      <w:r w:rsidRPr="006A4D4F">
        <w:rPr>
          <w:rFonts w:ascii="Roboto" w:hAnsi="Roboto"/>
          <w:b w:val="0"/>
          <w:bCs w:val="0"/>
          <w:caps/>
        </w:rPr>
        <w:t>3.2 The ODRS minimizes market entry delays</w:t>
      </w:r>
    </w:p>
    <w:p w14:paraId="6536C4F2" w14:textId="49662115" w:rsidR="00127F53" w:rsidRPr="006A4D4F" w:rsidRDefault="00571B9E" w:rsidP="00127F53">
      <w:pPr>
        <w:rPr>
          <w:rFonts w:ascii="Roboto Light" w:hAnsi="Roboto Light" w:cs="Arial"/>
          <w:color w:val="202426"/>
          <w:sz w:val="21"/>
          <w:szCs w:val="21"/>
        </w:rPr>
      </w:pPr>
      <w:r w:rsidRPr="006A4D4F">
        <w:rPr>
          <w:rFonts w:ascii="Roboto Light" w:hAnsi="Roboto Light" w:cs="Arial"/>
          <w:color w:val="202426"/>
          <w:sz w:val="21"/>
          <w:szCs w:val="21"/>
          <w:u w:val="single"/>
        </w:rPr>
        <w:t>The problem.</w:t>
      </w:r>
      <w:r w:rsidRPr="006A4D4F">
        <w:rPr>
          <w:rFonts w:ascii="Roboto Light" w:hAnsi="Roboto Light" w:cs="Arial"/>
          <w:b/>
          <w:bCs/>
          <w:color w:val="202426"/>
          <w:sz w:val="21"/>
          <w:szCs w:val="21"/>
        </w:rPr>
        <w:t xml:space="preserve"> </w:t>
      </w:r>
      <w:r w:rsidR="00127F53" w:rsidRPr="006A4D4F">
        <w:rPr>
          <w:rFonts w:ascii="Roboto Light" w:hAnsi="Roboto Light" w:cs="Arial"/>
          <w:color w:val="202426"/>
          <w:sz w:val="21"/>
          <w:szCs w:val="21"/>
        </w:rPr>
        <w:t>Under existing mechanisms, in many countries there are lengthy delays in patient access to new drugs caused by HTA processes and price negotiations. For example, in most European countries, economic appraisal does not start until after a positive CHMP decision, resulting in substantial access delays for most drugs after EMA approval.</w:t>
      </w:r>
      <w:r w:rsidR="00127F53"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{"citationItems":[{"id":"ITEM-1","itemData":{"author":[{"dropping-particle":"","family":"European Federation of Pharmaceutical Industries and Associations","given":"","non-dropping-particle":"","parse-names":false,"suffix":""}],"id":"ITEM-1","issued":{"date-parts":[["2020"]]},"title":"The root cause of unavailability and delay to innovative medicines: Reducing the time before patients have access to innovative medicines","type":"report"},"uris":["http://www.mendeley.com/documents/?uuid=bc12284b-ae42-4156-aeba-f3b1c3a7f8f9"]}],"mendeley":{"formattedCitation":"(8)","plainTextFormattedCitation":"(8)","previouslyFormattedCitation":"(8)"},"properties":{"noteIndex":0},"schema":"https://github.com/citation-style-language/schema/raw/master/csl-citation.json"}</w:instrText>
      </w:r>
      <w:r w:rsidR="00127F53"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(8)</w:t>
      </w:r>
      <w:r w:rsidR="00127F53" w:rsidRPr="006A4D4F">
        <w:rPr>
          <w:rFonts w:ascii="Roboto Light" w:hAnsi="Roboto Light" w:cs="Arial"/>
          <w:color w:val="202426"/>
          <w:sz w:val="21"/>
          <w:szCs w:val="21"/>
        </w:rPr>
        <w:fldChar w:fldCharType="end"/>
      </w:r>
      <w:r w:rsidR="00127F53" w:rsidRPr="006A4D4F">
        <w:rPr>
          <w:rFonts w:ascii="Roboto Light" w:hAnsi="Roboto Light" w:cs="Arial"/>
          <w:color w:val="202426"/>
          <w:sz w:val="21"/>
          <w:szCs w:val="21"/>
        </w:rPr>
        <w:t xml:space="preserve"> In Canada, the combination of HTA and </w:t>
      </w:r>
      <w:r w:rsidR="00442D18" w:rsidRPr="006A4D4F">
        <w:rPr>
          <w:rFonts w:ascii="Roboto Light" w:hAnsi="Roboto Light" w:cs="Arial"/>
          <w:color w:val="202426"/>
          <w:sz w:val="21"/>
          <w:szCs w:val="21"/>
        </w:rPr>
        <w:t xml:space="preserve">the </w:t>
      </w:r>
      <w:r w:rsidR="00127F53" w:rsidRPr="006A4D4F">
        <w:rPr>
          <w:rFonts w:ascii="Roboto Light" w:hAnsi="Roboto Light" w:cs="Arial"/>
          <w:color w:val="202426"/>
          <w:sz w:val="21"/>
          <w:szCs w:val="21"/>
        </w:rPr>
        <w:t xml:space="preserve">negotiation process delays access to new therapies by an average of </w:t>
      </w:r>
      <w:r w:rsidR="00127F53" w:rsidRPr="006A4D4F">
        <w:rPr>
          <w:rFonts w:ascii="Roboto Light" w:hAnsi="Roboto Light" w:cs="Arial"/>
          <w:color w:val="202426"/>
          <w:sz w:val="21"/>
          <w:szCs w:val="21"/>
        </w:rPr>
        <w:lastRenderedPageBreak/>
        <w:t>602 days.</w:t>
      </w:r>
      <w:r w:rsidR="00127F53"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{"citationItems":[{"id":"ITEM-1","itemData":{"DOI":"10.3389/fphar.2019.00196","ISSN":"1663-9812","abstract":"Individuals who rely on public health payers to access new medicines can access fewer innovative medicines and must wait longer in Canada compared to major markets around the world. New medicines/indications approved by Health Canada and reviewed for eligibility for reimbursement by the Common Drug Review or the pan-Canadian Oncology Drug Review (CDR/pCODR) from the beginning of 2012 through to the end of December 2016 were analyzed, with data taken from the relevant bodies’ websites and collected by IQVIA. This analysis investigated individual review segments – Notice of Compliance (NOC) to Health Technology Assessment (HTA) submission, HTA review time, pan-Canadian Pharmaceutical Alliance (pCPA) negotiation time, and public reimbursement decision time, and analyzed the trends of each over time and contributions to overall time to listing decisions. Average overall timelines for public reimbursement after NOC were long and most of this time is taken up by HTA and pCPA processes, at 236 and 273 days, respectively. This study confirms that Canadian public reimbursement delays from 2013-2014 to 2015-2016 lengthened from NOC to listing (Quebec + 53%, first provincial listing + 38%, and country-wide listing + 22%), reaching 499, 505, and 571 days, respectively. Over the same period, time from NOC to completion of HTA has increased by 33%, and time from post-HTA to first provincial listing by 44%. The pCPA process appears to be the main contributor to this increasing time trend, and although some provinces could be listing more quickly post-pCPA, they appear to be listing fewer products. Reasons for large delays in time to listing include the many-layered sequential process of reviews conducted before public drug plans decide whether to provide access to new innovative medicines. Although there has been some headway made in certain parts of the review processes (e.g., pre-NOC HTA), total time to listing continues to increase, seemingly due to the pCPA process and other additional review processes by drug plans. More clarity in the pCPA and provincial decision-making processes and better coordination between HTA, pCPA, and provincial decision-making processes is needed to increase predictability in the processes and reduce timelines for Canadian patients and manufacturers.","author":[{"dropping-particle":"","family":"Salek","given":"Sam","non-dropping-particle":"","parse-names":false,"suffix":""},{"dropping-particle":"","family":"Lussier Hoskyn","given":"Sarah","non-dropping-particle":"","parse-names":false,"suffix":""},{"dropping-particle":"","family":"Johns","given":"Jeffrey Roy","non-dropping-particle":"","parse-names":false,"suffix":""},{"dropping-particle":"","family":"Allen","given":"Nicola","non-dropping-particle":"","parse-names":false,"suffix":""},{"dropping-particle":"","family":"Sehgal","given":"Chander","non-dropping-particle":"","parse-names":false,"suffix":""}],"container-title":"Frontiers in Pharmacology","id":"ITEM-1","issued":{"date-parts":[["2019"]]},"title":"Factors Influencing Delays in Patient Access to New Medicines in Canada: A Retrospective Study of Reimbursement Processes in Public Drug Plans","type":"article-journal","volume":"10"},"uris":["http://www.mendeley.com/documents/?uuid=667b101a-c941-48b9-b921-fbc13d2f20ad"]}],"mendeley":{"formattedCitation":"(9)","plainTextFormattedCitation":"(9)","previouslyFormattedCitation":"(9)"},"properties":{"noteIndex":0},"schema":"https://github.com/citation-style-language/schema/raw/master/csl-citation.json"}</w:instrText>
      </w:r>
      <w:r w:rsidR="00127F53"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(9)</w:t>
      </w:r>
      <w:r w:rsidR="00127F53" w:rsidRPr="006A4D4F">
        <w:rPr>
          <w:rFonts w:ascii="Roboto Light" w:hAnsi="Roboto Light" w:cs="Arial"/>
          <w:color w:val="202426"/>
          <w:sz w:val="21"/>
          <w:szCs w:val="21"/>
        </w:rPr>
        <w:fldChar w:fldCharType="end"/>
      </w:r>
      <w:r w:rsidR="00127F53" w:rsidRPr="006A4D4F">
        <w:rPr>
          <w:rFonts w:ascii="Roboto Light" w:hAnsi="Roboto Light" w:cs="Arial"/>
          <w:color w:val="202426"/>
          <w:sz w:val="21"/>
          <w:szCs w:val="21"/>
        </w:rPr>
        <w:t xml:space="preserve"> </w:t>
      </w:r>
      <w:r w:rsidR="008C07B9" w:rsidRPr="006A4D4F">
        <w:rPr>
          <w:rFonts w:ascii="Roboto Light" w:hAnsi="Roboto Light" w:cs="Arial"/>
          <w:color w:val="202426"/>
          <w:sz w:val="21"/>
          <w:szCs w:val="21"/>
        </w:rPr>
        <w:t>Similar “reimbursement lags” occur in Australia, S. Korea and Taiwan.</w:t>
      </w:r>
      <w:r w:rsidR="008C07B9"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{"citationItems":[{"id":"ITEM-1","itemData":{"DOI":"https://doi.org/10.1111/cts.12778","abstract":"Drug lag—delayed approval or reimbursement—is a major barrier to accessing cutting-edge drugs. Unlike approval lag, reimbursement lag is under-researched. We investigated the key determinants of reimbursement lag under Taiwan National Health Insurance (NHI), and compared this lag with those in the United Kingdom, Canada, Australia, Japan, and South Korea. Using retrospective data on 190 new NHI-reimbursed drugs from 2007 to 2014, we studied reimbursement lag in Taiwan vs. other countries, and investigated associated factors using generalized linear models (GLMs). The median reimbursement lags during before (“first-generation”) and after (“second-generation”) NHI drug reimbursement scheme in Taiwan were 378 and 458 days, respectively. The “first-generation” lag was shorter only than that in South Korea, whereas the “second-generation” lag only exceeded those of the United Kingdom and Japan. In GLM models, higher drug expenditure and the introduction of the “second-generation” NHI were two statistically significant parameters associated with reimbursement lag among antineoplastic and immunomodulating agents. For other drug classes, the reimbursement price proposed by pharmaceutical companies and use of price-volume agreements were two statistically significant parameters associated with longer reimbursement lags. The current reimbursement lag in Taiwan is longer than 1 year, but only longer than those of the United Kingdom and Japan. The determinants differ between drug categories. A specific review process for antineoplastic and immunomodulating drugs may expedite reimbursement. There is a clear need for systematic data collection and analysis to ascertain factors associated with reimbursement lag and thereby inform future policy making.","author":[{"dropping-particle":"","family":"Shih","given":"Yi-Ru","non-dropping-particle":"","parse-names":false,"suffix":""},{"dropping-particle":"","family":"Liao","given":"Kai-Hsin","non-dropping-particle":"","parse-names":false,"suffix":""},{"dropping-particle":"","family":"Chen","given":"Yen-Hui","non-dropping-particle":"","parse-names":false,"suffix":""},{"dropping-particle":"","family":"Lin","given":"Fang-Ju","non-dropping-particle":"","parse-names":false,"suffix":""},{"dropping-particle":"","family":"Hsiao","given":"Fei-Yuan","non-dropping-particle":"","parse-names":false,"suffix":""}],"container-title":"Clinical and Translational Science","id":"ITEM-1","issue":"5","issued":{"date-parts":[["2020"]]},"page":"916-922","title":"Reimbursement Lag of New Drugs Under Taiwan's National Health Insurance System Compared With United Kingdom, Canada, Australia, Japan, and South Korea","type":"article-journal","volume":"13"},"uris":["http://www.mendeley.com/documents/?uuid=96310e52-3fe1-4820-950b-f30434aff1ad"]}],"mendeley":{"formattedCitation":"(10)","plainTextFormattedCitation":"(10)","previouslyFormattedCitation":"(10)"},"properties":{"noteIndex":0},"schema":"https://github.com/citation-style-language/schema/raw/master/csl-citation.json"}</w:instrText>
      </w:r>
      <w:r w:rsidR="008C07B9"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(10)</w:t>
      </w:r>
      <w:r w:rsidR="008C07B9" w:rsidRPr="006A4D4F">
        <w:rPr>
          <w:rFonts w:ascii="Roboto Light" w:hAnsi="Roboto Light" w:cs="Arial"/>
          <w:color w:val="202426"/>
          <w:sz w:val="21"/>
          <w:szCs w:val="21"/>
        </w:rPr>
        <w:fldChar w:fldCharType="end"/>
      </w:r>
      <w:r w:rsidR="008C07B9" w:rsidRPr="006A4D4F">
        <w:rPr>
          <w:rFonts w:ascii="Roboto Light" w:hAnsi="Roboto Light" w:cs="Arial"/>
          <w:color w:val="202426"/>
          <w:sz w:val="21"/>
          <w:szCs w:val="21"/>
        </w:rPr>
        <w:t xml:space="preserve"> </w:t>
      </w:r>
      <w:r w:rsidR="00127F53" w:rsidRPr="006A4D4F">
        <w:rPr>
          <w:rFonts w:ascii="Roboto Light" w:hAnsi="Roboto Light" w:cs="Arial"/>
          <w:color w:val="202426"/>
          <w:sz w:val="21"/>
          <w:szCs w:val="21"/>
        </w:rPr>
        <w:t>Moreover, in many countries, there are delays to HTA applications because of external reference pricing.</w:t>
      </w:r>
      <w:r w:rsidR="00127F53"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Kanavos","given":"Panos","non-dropping-particle":"","parse-names":false,"suffix":""},{"dropping-particle":"","family":"Fontrier","given":"Anna-Maria","non-dropping-particle":"","parse-names":false,"suffix":""},{"dropping-particle":"","family":"Gill","given":"Jennifer","non-dropping-particle":"","parse-names":false,"suffix":""},{"dropping-particle":"","family":"Efthymiadou","given":"Olina","non-dropping-particle":"","parse-names":false,"suffix":""}],"container-title":"The European Journal of Health Economics","id":"ITEM-1","issue":"1","issued":{"date-parts":[["2020"]]},"page":"129-151","publisher":"Springer","title":"Does external reference pricing deliver what it promises? Evidence on its impact at national level","type":"article-journal","volume":"21"},"uris":["http://www.mendeley.com/documents/?uuid=45cac09f-ec22-44aa-8e3c-e909d4bc9793"]}],"mendeley":{"formattedCitation":"(11)","plainTextFormattedCitation":"(11)","previouslyFormattedCitation":"(11)"},"properties":{"noteIndex":0},"schema":"https://github.com/citation-style-language/schema/raw/master/csl-citation.json"}</w:instrText>
      </w:r>
      <w:r w:rsidR="00127F53"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(11)</w:t>
      </w:r>
      <w:r w:rsidR="00127F53" w:rsidRPr="006A4D4F">
        <w:rPr>
          <w:rFonts w:ascii="Roboto Light" w:hAnsi="Roboto Light" w:cs="Arial"/>
          <w:color w:val="202426"/>
          <w:sz w:val="21"/>
          <w:szCs w:val="21"/>
        </w:rPr>
        <w:fldChar w:fldCharType="end"/>
      </w:r>
      <w:r w:rsidR="00127F53" w:rsidRPr="006A4D4F">
        <w:rPr>
          <w:rFonts w:ascii="Roboto Light" w:hAnsi="Roboto Light" w:cs="Arial"/>
          <w:color w:val="202426"/>
          <w:sz w:val="21"/>
          <w:szCs w:val="21"/>
        </w:rPr>
        <w:t xml:space="preserve"> </w:t>
      </w:r>
    </w:p>
    <w:p w14:paraId="012E5E92" w14:textId="65567180" w:rsidR="00127F53" w:rsidRPr="006A4D4F" w:rsidRDefault="00127F53" w:rsidP="00F02D43">
      <w:pPr>
        <w:rPr>
          <w:rFonts w:ascii="Roboto Light" w:hAnsi="Roboto Light" w:cs="Arial"/>
          <w:color w:val="202426"/>
          <w:sz w:val="21"/>
          <w:szCs w:val="21"/>
        </w:rPr>
      </w:pPr>
      <w:r w:rsidRPr="006A4D4F">
        <w:rPr>
          <w:rFonts w:ascii="Roboto Light" w:hAnsi="Roboto Light" w:cs="Arial"/>
          <w:color w:val="202426"/>
          <w:sz w:val="21"/>
          <w:szCs w:val="21"/>
        </w:rPr>
        <w:t>The delays to effective market entry have potentially enormous costs. From the perspective of pharmaceutical innovators, rapid access is the</w:t>
      </w:r>
      <w:r w:rsidR="00DD467E" w:rsidRPr="006A4D4F">
        <w:rPr>
          <w:rFonts w:ascii="Roboto Light" w:hAnsi="Roboto Light" w:cs="Arial"/>
          <w:color w:val="202426"/>
          <w:sz w:val="21"/>
          <w:szCs w:val="21"/>
        </w:rPr>
        <w:t xml:space="preserve"> prerequisite to</w:t>
      </w:r>
      <w:r w:rsidRPr="006A4D4F">
        <w:rPr>
          <w:rFonts w:ascii="Roboto Light" w:hAnsi="Roboto Light" w:cs="Arial"/>
          <w:color w:val="202426"/>
          <w:sz w:val="21"/>
          <w:szCs w:val="21"/>
        </w:rPr>
        <w:t xml:space="preserve"> rapid revenues</w:t>
      </w:r>
      <w:r w:rsidR="00DD467E" w:rsidRPr="006A4D4F">
        <w:rPr>
          <w:rFonts w:ascii="Roboto Light" w:hAnsi="Roboto Light" w:cs="Arial"/>
          <w:color w:val="202426"/>
          <w:sz w:val="21"/>
          <w:szCs w:val="21"/>
        </w:rPr>
        <w:t>, offering not only</w:t>
      </w:r>
      <w:r w:rsidRPr="006A4D4F">
        <w:rPr>
          <w:rFonts w:ascii="Roboto Light" w:hAnsi="Roboto Light" w:cs="Arial"/>
          <w:color w:val="202426"/>
          <w:sz w:val="21"/>
          <w:szCs w:val="21"/>
        </w:rPr>
        <w:t xml:space="preserve"> an earlier return on their investment, but a longer effective duration of patent protection. </w:t>
      </w:r>
      <w:r w:rsidR="00302155" w:rsidRPr="006A4D4F">
        <w:rPr>
          <w:rFonts w:ascii="Roboto Light" w:hAnsi="Roboto Light" w:cs="Arial"/>
          <w:color w:val="202426"/>
          <w:sz w:val="21"/>
          <w:szCs w:val="21"/>
        </w:rPr>
        <w:t>Rapid access thus</w:t>
      </w:r>
      <w:r w:rsidRPr="006A4D4F">
        <w:rPr>
          <w:rFonts w:ascii="Roboto Light" w:hAnsi="Roboto Light" w:cs="Arial"/>
          <w:color w:val="202426"/>
          <w:sz w:val="21"/>
          <w:szCs w:val="21"/>
        </w:rPr>
        <w:t xml:space="preserve"> ha</w:t>
      </w:r>
      <w:r w:rsidR="00302155" w:rsidRPr="006A4D4F">
        <w:rPr>
          <w:rFonts w:ascii="Roboto Light" w:hAnsi="Roboto Light" w:cs="Arial"/>
          <w:color w:val="202426"/>
          <w:sz w:val="21"/>
          <w:szCs w:val="21"/>
        </w:rPr>
        <w:t>s</w:t>
      </w:r>
      <w:r w:rsidRPr="006A4D4F">
        <w:rPr>
          <w:rFonts w:ascii="Roboto Light" w:hAnsi="Roboto Light" w:cs="Arial"/>
          <w:color w:val="202426"/>
          <w:sz w:val="21"/>
          <w:szCs w:val="21"/>
        </w:rPr>
        <w:t xml:space="preserve"> the effect of </w:t>
      </w:r>
      <w:r w:rsidR="00442D18" w:rsidRPr="006A4D4F">
        <w:rPr>
          <w:rFonts w:ascii="Roboto Light" w:hAnsi="Roboto Light" w:cs="Arial"/>
          <w:color w:val="202426"/>
          <w:sz w:val="21"/>
          <w:szCs w:val="21"/>
        </w:rPr>
        <w:t>increasing the returns on</w:t>
      </w:r>
      <w:r w:rsidRPr="006A4D4F">
        <w:rPr>
          <w:rFonts w:ascii="Roboto Light" w:hAnsi="Roboto Light" w:cs="Arial"/>
          <w:color w:val="202426"/>
          <w:sz w:val="21"/>
          <w:szCs w:val="21"/>
        </w:rPr>
        <w:t xml:space="preserve"> investment in </w:t>
      </w:r>
      <w:r w:rsidR="008C07B9" w:rsidRPr="006A4D4F">
        <w:rPr>
          <w:rFonts w:ascii="Roboto Light" w:hAnsi="Roboto Light" w:cs="Arial"/>
          <w:color w:val="202426"/>
          <w:sz w:val="21"/>
          <w:szCs w:val="21"/>
        </w:rPr>
        <w:t xml:space="preserve">pharmaceutical </w:t>
      </w:r>
      <w:r w:rsidRPr="006A4D4F">
        <w:rPr>
          <w:rFonts w:ascii="Roboto Light" w:hAnsi="Roboto Light" w:cs="Arial"/>
          <w:color w:val="202426"/>
          <w:sz w:val="21"/>
          <w:szCs w:val="21"/>
        </w:rPr>
        <w:t>innovati</w:t>
      </w:r>
      <w:r w:rsidR="008C07B9" w:rsidRPr="006A4D4F">
        <w:rPr>
          <w:rFonts w:ascii="Roboto Light" w:hAnsi="Roboto Light" w:cs="Arial"/>
          <w:color w:val="202426"/>
          <w:sz w:val="21"/>
          <w:szCs w:val="21"/>
        </w:rPr>
        <w:t>on</w:t>
      </w:r>
      <w:r w:rsidRPr="006A4D4F">
        <w:rPr>
          <w:rFonts w:ascii="Roboto Light" w:hAnsi="Roboto Light" w:cs="Arial"/>
          <w:color w:val="202426"/>
          <w:sz w:val="21"/>
          <w:szCs w:val="21"/>
        </w:rPr>
        <w:t xml:space="preserve">. For the population, earlier access and more innovation hold out the promise of better health outcomes. </w:t>
      </w:r>
      <w:r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{"citationItems":[{"id":"ITEM-1","itemData":{"author":[{"dropping-particle":"","family":"Lichtenberg","given":"Frank R","non-dropping-particle":"","parse-names":false,"suffix":""}],"container-title":"International journal of health care finance and economics","id":"ITEM-1","issue":"1","issued":{"date-parts":[["2005"]]},"page":"47-73","publisher":"Springer","title":"The impact of new drug launches on longevity: evidence from longitudinal, disease-level data from 52 countries, 1982--2001","type":"article-journal","volume":"5"},"uris":["http://www.mendeley.com/documents/?uuid=93b54d7c-8b82-47e0-bdb2-7083d8340e9b"]}],"mendeley":{"formattedCitation":"(12)","plainTextFormattedCitation":"(12)","previouslyFormattedCitation":"(12)"},"properties":{"noteIndex":0},"schema":"https://github.com/citation-style-language/schema/raw/master/csl-citation.json"}</w:instrText>
      </w:r>
      <w:r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(12)</w:t>
      </w:r>
      <w:r w:rsidRPr="006A4D4F">
        <w:rPr>
          <w:rFonts w:ascii="Roboto Light" w:hAnsi="Roboto Light" w:cs="Arial"/>
          <w:color w:val="202426"/>
          <w:sz w:val="21"/>
          <w:szCs w:val="21"/>
        </w:rPr>
        <w:fldChar w:fldCharType="end"/>
      </w:r>
      <w:r w:rsidRPr="006A4D4F">
        <w:rPr>
          <w:rFonts w:ascii="Roboto Light" w:hAnsi="Roboto Light" w:cs="Arial"/>
          <w:color w:val="202426"/>
          <w:sz w:val="21"/>
          <w:szCs w:val="21"/>
        </w:rPr>
        <w:t xml:space="preserve"> Delays in access have the opposite effect: for example, delayed access to oncology drugs in Canada is estimated to result in </w:t>
      </w:r>
      <w:r w:rsidR="00442D18" w:rsidRPr="006A4D4F">
        <w:rPr>
          <w:rFonts w:ascii="Roboto Light" w:hAnsi="Roboto Light" w:cs="Arial"/>
          <w:color w:val="202426"/>
          <w:sz w:val="21"/>
          <w:szCs w:val="21"/>
        </w:rPr>
        <w:t xml:space="preserve">a </w:t>
      </w:r>
      <w:r w:rsidRPr="006A4D4F">
        <w:rPr>
          <w:rFonts w:ascii="Roboto Light" w:hAnsi="Roboto Light" w:cs="Arial"/>
          <w:color w:val="202426"/>
          <w:sz w:val="21"/>
          <w:szCs w:val="21"/>
        </w:rPr>
        <w:t>substantial los</w:t>
      </w:r>
      <w:r w:rsidR="00442D18" w:rsidRPr="006A4D4F">
        <w:rPr>
          <w:rFonts w:ascii="Roboto Light" w:hAnsi="Roboto Light" w:cs="Arial"/>
          <w:color w:val="202426"/>
          <w:sz w:val="21"/>
          <w:szCs w:val="21"/>
        </w:rPr>
        <w:t>s in</w:t>
      </w:r>
      <w:r w:rsidRPr="006A4D4F">
        <w:rPr>
          <w:rFonts w:ascii="Roboto Light" w:hAnsi="Roboto Light" w:cs="Arial"/>
          <w:color w:val="202426"/>
          <w:sz w:val="21"/>
          <w:szCs w:val="21"/>
        </w:rPr>
        <w:t xml:space="preserve"> life-years.</w:t>
      </w:r>
      <w:r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{"citationItems":[{"id":"ITEM-1","itemData":{"DOI":"10.1007/s40487-022-00187-3","ISSN":"2366-1089","abstract":"New requirements in Canada’s pricing processes for patented drugs may exacerbate delays in regulatory and reimbursement reviews. This study seeks to better understand the impact of any additional delays on non-small cell lung cancer (NSCLC) patients by measuring the following: (a) durations and outcomes of regulatory and reimbursement reviews of NSCLC drugs in Canada and reference countries; (b) delays in Canada’s reviews of three NSCLC drugs (nivolumab, afatinib, and pemetrexed [NAP]); and (c) estimating clinical, patient, and economic impacts of delays in Canada’s reviews on access to NAP.","author":[{"dropping-particle":"","family":"Vanderpuye-Orgle","given":"Jackie","non-dropping-particle":"","parse-names":false,"suffix":""},{"dropping-particle":"","family":"Erim","given":"Daniel","non-dropping-particle":"","parse-names":false,"suffix":""},{"dropping-particle":"","family":"Qian","given":"Yi","non-dropping-particle":"","parse-names":false,"suffix":""},{"dropping-particle":"","family":"Boyne","given":"Devon J","non-dropping-particle":"","parse-names":false,"suffix":""},{"dropping-particle":"","family":"Cheung","given":"Winson Y","non-dropping-particle":"","parse-names":false,"suffix":""},{"dropping-particle":"","family":"Bebb","given":"Gwyn","non-dropping-particle":"","parse-names":false,"suffix":""},{"dropping-particle":"","family":"Shah","given":"Ariel","non-dropping-particle":"","parse-names":false,"suffix":""},{"dropping-particle":"","family":"Pericleous","given":"Louisa","non-dropping-particle":"","parse-names":false,"suffix":""},{"dropping-particle":"","family":"Maruszczak","given":"Maciej","non-dropping-particle":"","parse-names":false,"suffix":""},{"dropping-particle":"","family":"Brenner","given":"Darren R","non-dropping-particle":"","parse-names":false,"suffix":""}],"container-title":"Oncology and Therapy","id":"ITEM-1","issue":"1","issued":{"date-parts":[["2022"]]},"page":"195-210","title":"Estimating the Impact of Delayed Access to Oncology Drugs on Patient Outcomes in Canada","type":"article-journal","volume":"10"},"uris":["http://www.mendeley.com/documents/?uuid=a7314441-eaff-4c31-b2c7-f072ee152e96"]}],"mendeley":{"formattedCitation":"(13)","plainTextFormattedCitation":"(13)","previouslyFormattedCitation":"(13)"},"properties":{"noteIndex":0},"schema":"https://github.com/citation-style-language/schema/raw/master/csl-citation.json"}</w:instrText>
      </w:r>
      <w:r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(13)</w:t>
      </w:r>
      <w:r w:rsidRPr="006A4D4F">
        <w:rPr>
          <w:rFonts w:ascii="Roboto Light" w:hAnsi="Roboto Light" w:cs="Arial"/>
          <w:color w:val="202426"/>
          <w:sz w:val="21"/>
          <w:szCs w:val="21"/>
        </w:rPr>
        <w:fldChar w:fldCharType="end"/>
      </w:r>
    </w:p>
    <w:p w14:paraId="632B4A5C" w14:textId="77777777" w:rsidR="002101C5" w:rsidRPr="006A4D4F" w:rsidRDefault="00571B9E" w:rsidP="00FF2D59">
      <w:pPr>
        <w:rPr>
          <w:rFonts w:ascii="Roboto Light" w:hAnsi="Roboto Light" w:cs="Arial"/>
          <w:color w:val="202426"/>
          <w:sz w:val="21"/>
          <w:szCs w:val="21"/>
        </w:rPr>
      </w:pPr>
      <w:r w:rsidRPr="006A4D4F">
        <w:rPr>
          <w:rFonts w:ascii="Roboto Light" w:hAnsi="Roboto Light" w:cs="Arial"/>
          <w:color w:val="202426"/>
          <w:sz w:val="21"/>
          <w:szCs w:val="21"/>
          <w:u w:val="single"/>
        </w:rPr>
        <w:t>ODRS as a solution.</w:t>
      </w:r>
      <w:r w:rsidRPr="006A4D4F">
        <w:rPr>
          <w:rFonts w:ascii="Roboto Light" w:hAnsi="Roboto Light" w:cs="Arial"/>
          <w:b/>
          <w:bCs/>
          <w:color w:val="202426"/>
          <w:sz w:val="21"/>
          <w:szCs w:val="21"/>
        </w:rPr>
        <w:t xml:space="preserve"> </w:t>
      </w:r>
      <w:r w:rsidR="002101C5" w:rsidRPr="006A4D4F">
        <w:rPr>
          <w:rFonts w:ascii="Roboto Light" w:hAnsi="Roboto Light" w:cs="Arial"/>
          <w:color w:val="202426"/>
          <w:sz w:val="21"/>
          <w:szCs w:val="21"/>
        </w:rPr>
        <w:t xml:space="preserve">Products entering the ODRS would face an HTA process that would occur </w:t>
      </w:r>
      <w:r w:rsidR="002101C5" w:rsidRPr="006A4D4F">
        <w:rPr>
          <w:rFonts w:ascii="Roboto Light" w:hAnsi="Roboto Light" w:cs="Arial"/>
          <w:i/>
          <w:iCs/>
          <w:color w:val="202426"/>
          <w:sz w:val="21"/>
          <w:szCs w:val="21"/>
        </w:rPr>
        <w:t>after</w:t>
      </w:r>
      <w:r w:rsidR="002101C5" w:rsidRPr="006A4D4F">
        <w:rPr>
          <w:rFonts w:ascii="Roboto Light" w:hAnsi="Roboto Light" w:cs="Arial"/>
          <w:color w:val="202426"/>
          <w:sz w:val="21"/>
          <w:szCs w:val="21"/>
        </w:rPr>
        <w:t xml:space="preserve"> they had already begun selling, with payment to follow. </w:t>
      </w:r>
      <w:r w:rsidR="00F02D43" w:rsidRPr="006A4D4F">
        <w:rPr>
          <w:rFonts w:ascii="Roboto Light" w:hAnsi="Roboto Light" w:cs="Arial"/>
          <w:color w:val="202426"/>
          <w:sz w:val="21"/>
          <w:szCs w:val="21"/>
        </w:rPr>
        <w:t xml:space="preserve">The ODRS option would </w:t>
      </w:r>
      <w:r w:rsidR="002101C5" w:rsidRPr="006A4D4F">
        <w:rPr>
          <w:rFonts w:ascii="Roboto Light" w:hAnsi="Roboto Light" w:cs="Arial"/>
          <w:color w:val="202426"/>
          <w:sz w:val="21"/>
          <w:szCs w:val="21"/>
        </w:rPr>
        <w:t xml:space="preserve">thus </w:t>
      </w:r>
      <w:r w:rsidR="00F02D43" w:rsidRPr="006A4D4F">
        <w:rPr>
          <w:rFonts w:ascii="Roboto Light" w:hAnsi="Roboto Light" w:cs="Arial"/>
          <w:color w:val="202426"/>
          <w:sz w:val="21"/>
          <w:szCs w:val="21"/>
        </w:rPr>
        <w:t xml:space="preserve">allow firms to </w:t>
      </w:r>
      <w:r w:rsidR="00F02D43" w:rsidRPr="006A4D4F">
        <w:rPr>
          <w:rFonts w:ascii="Roboto Medium" w:hAnsi="Roboto Medium" w:cs="Arial"/>
          <w:color w:val="202426"/>
          <w:sz w:val="21"/>
          <w:szCs w:val="21"/>
        </w:rPr>
        <w:t>avoid time-consuming HTA processes and price negotiations</w:t>
      </w:r>
      <w:r w:rsidR="00F02D43" w:rsidRPr="006A4D4F">
        <w:rPr>
          <w:rFonts w:ascii="Roboto Light" w:hAnsi="Roboto Light" w:cs="Arial"/>
          <w:color w:val="202426"/>
          <w:sz w:val="21"/>
          <w:szCs w:val="21"/>
        </w:rPr>
        <w:t xml:space="preserve"> with insurers before their product entered the market.</w:t>
      </w:r>
      <w:r w:rsidR="002101C5" w:rsidRPr="006A4D4F">
        <w:rPr>
          <w:rFonts w:ascii="Roboto Light" w:hAnsi="Roboto Light" w:cs="Arial"/>
          <w:color w:val="202426"/>
          <w:sz w:val="21"/>
          <w:szCs w:val="21"/>
        </w:rPr>
        <w:t xml:space="preserve"> </w:t>
      </w:r>
      <w:r w:rsidR="00F02D43" w:rsidRPr="006A4D4F">
        <w:rPr>
          <w:rFonts w:ascii="Roboto Light" w:hAnsi="Roboto Light" w:cs="Arial"/>
          <w:color w:val="202426"/>
          <w:sz w:val="21"/>
          <w:szCs w:val="21"/>
        </w:rPr>
        <w:t>That would allow new medicines to get to patients faster</w:t>
      </w:r>
      <w:r w:rsidR="008C07B9" w:rsidRPr="006A4D4F">
        <w:rPr>
          <w:rFonts w:ascii="Roboto Light" w:hAnsi="Roboto Light" w:cs="Arial"/>
          <w:color w:val="202426"/>
          <w:sz w:val="21"/>
          <w:szCs w:val="21"/>
        </w:rPr>
        <w:t xml:space="preserve">, and for firms to begin to be reimbursed </w:t>
      </w:r>
      <w:r w:rsidR="002101C5" w:rsidRPr="006A4D4F">
        <w:rPr>
          <w:rFonts w:ascii="Roboto Light" w:hAnsi="Roboto Light" w:cs="Arial"/>
          <w:color w:val="202426"/>
          <w:sz w:val="21"/>
          <w:szCs w:val="21"/>
        </w:rPr>
        <w:t>for sales that could start immediately following marketing authorization</w:t>
      </w:r>
      <w:r w:rsidR="00F02D43" w:rsidRPr="006A4D4F">
        <w:rPr>
          <w:rFonts w:ascii="Roboto Light" w:hAnsi="Roboto Light" w:cs="Arial"/>
          <w:color w:val="202426"/>
          <w:sz w:val="21"/>
          <w:szCs w:val="21"/>
        </w:rPr>
        <w:t>.</w:t>
      </w:r>
    </w:p>
    <w:p w14:paraId="6AEEB4AB" w14:textId="0244E797" w:rsidR="00F02D43" w:rsidRPr="006A4D4F" w:rsidRDefault="002101C5" w:rsidP="00FF2D59">
      <w:pPr>
        <w:rPr>
          <w:rFonts w:ascii="Roboto Light" w:hAnsi="Roboto Light" w:cs="Arial"/>
          <w:b/>
          <w:bCs/>
          <w:color w:val="202426"/>
          <w:sz w:val="21"/>
          <w:szCs w:val="21"/>
        </w:rPr>
      </w:pPr>
      <w:r w:rsidRPr="006A4D4F">
        <w:rPr>
          <w:rFonts w:ascii="Roboto Light" w:hAnsi="Roboto Light" w:cs="Arial"/>
          <w:color w:val="202426"/>
          <w:sz w:val="21"/>
          <w:szCs w:val="21"/>
        </w:rPr>
        <w:t xml:space="preserve">The reason that this would work is that, through the commitment of the ODRS, the reward would be determined </w:t>
      </w:r>
      <w:r w:rsidR="00302155" w:rsidRPr="006A4D4F">
        <w:rPr>
          <w:rFonts w:ascii="Roboto Light" w:hAnsi="Roboto Light" w:cs="Arial"/>
          <w:color w:val="202426"/>
          <w:sz w:val="21"/>
          <w:szCs w:val="21"/>
        </w:rPr>
        <w:t>according to pre-agreed</w:t>
      </w:r>
      <w:r w:rsidRPr="006A4D4F">
        <w:rPr>
          <w:rFonts w:ascii="Roboto Light" w:hAnsi="Roboto Light" w:cs="Arial"/>
          <w:color w:val="202426"/>
          <w:sz w:val="21"/>
          <w:szCs w:val="21"/>
        </w:rPr>
        <w:t xml:space="preserve"> rather than negotiated</w:t>
      </w:r>
      <w:r w:rsidR="00302155" w:rsidRPr="006A4D4F">
        <w:rPr>
          <w:rFonts w:ascii="Roboto Light" w:hAnsi="Roboto Light" w:cs="Arial"/>
          <w:color w:val="202426"/>
          <w:sz w:val="21"/>
          <w:szCs w:val="21"/>
        </w:rPr>
        <w:t xml:space="preserve"> on a </w:t>
      </w:r>
      <w:r w:rsidR="00FE7A1E" w:rsidRPr="006A4D4F">
        <w:rPr>
          <w:rFonts w:ascii="Roboto Light" w:hAnsi="Roboto Light" w:cs="Arial"/>
          <w:color w:val="202426"/>
          <w:sz w:val="21"/>
          <w:szCs w:val="21"/>
        </w:rPr>
        <w:t>case-by-case</w:t>
      </w:r>
      <w:r w:rsidR="00302155" w:rsidRPr="006A4D4F">
        <w:rPr>
          <w:rFonts w:ascii="Roboto Light" w:hAnsi="Roboto Light" w:cs="Arial"/>
          <w:color w:val="202426"/>
          <w:sz w:val="21"/>
          <w:szCs w:val="21"/>
        </w:rPr>
        <w:t xml:space="preserve"> basis</w:t>
      </w:r>
      <w:r w:rsidRPr="006A4D4F">
        <w:rPr>
          <w:rFonts w:ascii="Roboto Light" w:hAnsi="Roboto Light" w:cs="Arial"/>
          <w:color w:val="202426"/>
          <w:sz w:val="21"/>
          <w:szCs w:val="21"/>
        </w:rPr>
        <w:t>. With a low sales price</w:t>
      </w:r>
      <w:r w:rsidR="00302155" w:rsidRPr="006A4D4F">
        <w:rPr>
          <w:rFonts w:ascii="Roboto Light" w:hAnsi="Roboto Light" w:cs="Arial"/>
          <w:color w:val="202426"/>
          <w:sz w:val="21"/>
          <w:szCs w:val="21"/>
        </w:rPr>
        <w:t xml:space="preserve">, </w:t>
      </w:r>
      <w:r w:rsidRPr="006A4D4F">
        <w:rPr>
          <w:rFonts w:ascii="Roboto Light" w:hAnsi="Roboto Light" w:cs="Arial"/>
          <w:color w:val="202426"/>
          <w:sz w:val="21"/>
          <w:szCs w:val="21"/>
        </w:rPr>
        <w:t xml:space="preserve">products in the ODRS could be purchased by consumers even prior to a formulary listing by insurers, although generally one would expect insurers to treat them in the same way as generic drugs. </w:t>
      </w:r>
      <w:r w:rsidR="00F02D43" w:rsidRPr="006A4D4F">
        <w:rPr>
          <w:rFonts w:ascii="Roboto Light" w:hAnsi="Roboto Light" w:cs="Arial"/>
          <w:color w:val="202426"/>
          <w:sz w:val="21"/>
          <w:szCs w:val="21"/>
        </w:rPr>
        <w:t xml:space="preserve">And </w:t>
      </w:r>
      <w:r w:rsidRPr="006A4D4F">
        <w:rPr>
          <w:rFonts w:ascii="Roboto Light" w:hAnsi="Roboto Light" w:cs="Arial"/>
          <w:color w:val="202426"/>
          <w:sz w:val="21"/>
          <w:szCs w:val="21"/>
        </w:rPr>
        <w:t>the ODRS</w:t>
      </w:r>
      <w:r w:rsidR="00F02D43" w:rsidRPr="006A4D4F">
        <w:rPr>
          <w:rFonts w:ascii="Roboto Light" w:hAnsi="Roboto Light" w:cs="Arial"/>
          <w:color w:val="202426"/>
          <w:sz w:val="21"/>
          <w:szCs w:val="21"/>
        </w:rPr>
        <w:t xml:space="preserve">, as insurer, would be protected </w:t>
      </w:r>
      <w:r w:rsidR="00235FB9" w:rsidRPr="006A4D4F">
        <w:rPr>
          <w:rFonts w:ascii="Roboto Light" w:hAnsi="Roboto Light" w:cs="Arial"/>
          <w:color w:val="202426"/>
          <w:sz w:val="21"/>
          <w:szCs w:val="21"/>
        </w:rPr>
        <w:t>by</w:t>
      </w:r>
      <w:r w:rsidR="00F02D43" w:rsidRPr="006A4D4F">
        <w:rPr>
          <w:rFonts w:ascii="Roboto Light" w:hAnsi="Roboto Light" w:cs="Arial"/>
          <w:color w:val="202426"/>
          <w:sz w:val="21"/>
          <w:szCs w:val="21"/>
        </w:rPr>
        <w:t xml:space="preserve"> a performance-related contract with the firm: it would not face the risk of paying high prices for a drug that turned out to be used mostly in low-value indications. </w:t>
      </w:r>
      <w:r w:rsidR="00571B9E" w:rsidRPr="006A4D4F">
        <w:rPr>
          <w:rFonts w:ascii="Roboto Light" w:hAnsi="Roboto Light" w:cs="Arial"/>
          <w:color w:val="202426"/>
          <w:sz w:val="21"/>
          <w:szCs w:val="21"/>
        </w:rPr>
        <w:t xml:space="preserve">The ODRS, by offering a </w:t>
      </w:r>
      <w:r w:rsidR="00571B9E" w:rsidRPr="006A4D4F">
        <w:rPr>
          <w:rFonts w:ascii="Roboto Light" w:hAnsi="Roboto Light" w:cs="Arial"/>
          <w:i/>
          <w:iCs/>
          <w:color w:val="202426"/>
          <w:sz w:val="21"/>
          <w:szCs w:val="21"/>
        </w:rPr>
        <w:t>fair</w:t>
      </w:r>
      <w:r w:rsidR="00571B9E" w:rsidRPr="006A4D4F">
        <w:rPr>
          <w:rFonts w:ascii="Roboto Light" w:hAnsi="Roboto Light" w:cs="Arial"/>
          <w:color w:val="202426"/>
          <w:sz w:val="21"/>
          <w:szCs w:val="21"/>
        </w:rPr>
        <w:t xml:space="preserve"> reimbursement scheme, enables this efficient outcome that can benefit both investors and patients.</w:t>
      </w:r>
    </w:p>
    <w:p w14:paraId="3E1FC4D8" w14:textId="23CE0B2B" w:rsidR="00F02D43" w:rsidRPr="006A4D4F" w:rsidRDefault="00F02D43" w:rsidP="00571B9E">
      <w:pPr>
        <w:pStyle w:val="Heading2"/>
        <w:rPr>
          <w:rFonts w:ascii="Roboto" w:hAnsi="Roboto"/>
          <w:b w:val="0"/>
          <w:bCs w:val="0"/>
          <w:caps/>
        </w:rPr>
      </w:pPr>
      <w:r w:rsidRPr="006A4D4F">
        <w:rPr>
          <w:rFonts w:ascii="Roboto" w:hAnsi="Roboto"/>
          <w:b w:val="0"/>
          <w:bCs w:val="0"/>
          <w:caps/>
        </w:rPr>
        <w:t>3.3 The ODRS</w:t>
      </w:r>
      <w:r w:rsidR="00D77608" w:rsidRPr="006A4D4F">
        <w:rPr>
          <w:rFonts w:ascii="Roboto" w:hAnsi="Roboto"/>
          <w:b w:val="0"/>
          <w:bCs w:val="0"/>
          <w:caps/>
        </w:rPr>
        <w:t xml:space="preserve"> minimiz</w:t>
      </w:r>
      <w:r w:rsidR="00F57520" w:rsidRPr="006A4D4F">
        <w:rPr>
          <w:rFonts w:ascii="Roboto" w:hAnsi="Roboto"/>
          <w:b w:val="0"/>
          <w:bCs w:val="0"/>
          <w:caps/>
        </w:rPr>
        <w:t xml:space="preserve">es the risk that high prices </w:t>
      </w:r>
      <w:r w:rsidR="00920AC0" w:rsidRPr="006A4D4F">
        <w:rPr>
          <w:rFonts w:ascii="Roboto" w:hAnsi="Roboto"/>
          <w:b w:val="0"/>
          <w:bCs w:val="0"/>
          <w:caps/>
        </w:rPr>
        <w:t>inhibit</w:t>
      </w:r>
      <w:r w:rsidR="00F57520" w:rsidRPr="006A4D4F">
        <w:rPr>
          <w:rFonts w:ascii="Roboto" w:hAnsi="Roboto"/>
          <w:b w:val="0"/>
          <w:bCs w:val="0"/>
          <w:caps/>
        </w:rPr>
        <w:t xml:space="preserve"> us</w:t>
      </w:r>
      <w:r w:rsidR="00920AC0" w:rsidRPr="006A4D4F">
        <w:rPr>
          <w:rFonts w:ascii="Roboto" w:hAnsi="Roboto"/>
          <w:b w:val="0"/>
          <w:bCs w:val="0"/>
          <w:caps/>
        </w:rPr>
        <w:t>e</w:t>
      </w:r>
    </w:p>
    <w:p w14:paraId="14564273" w14:textId="2C635AB5" w:rsidR="00805D19" w:rsidRPr="006A4D4F" w:rsidRDefault="00AA7CB3" w:rsidP="00F02D43">
      <w:pPr>
        <w:rPr>
          <w:rFonts w:ascii="Roboto Light" w:hAnsi="Roboto Light" w:cs="Arial"/>
          <w:color w:val="202426"/>
          <w:sz w:val="21"/>
          <w:szCs w:val="21"/>
        </w:rPr>
      </w:pPr>
      <w:r w:rsidRPr="006A4D4F">
        <w:rPr>
          <w:rFonts w:ascii="Roboto Light" w:hAnsi="Roboto Light" w:cs="Arial"/>
          <w:color w:val="202426"/>
          <w:sz w:val="21"/>
          <w:szCs w:val="21"/>
          <w:u w:val="single"/>
        </w:rPr>
        <w:t>The pro</w:t>
      </w:r>
      <w:r w:rsidR="005B3527" w:rsidRPr="006A4D4F">
        <w:rPr>
          <w:rFonts w:ascii="Roboto Light" w:hAnsi="Roboto Light" w:cs="Arial"/>
          <w:color w:val="202426"/>
          <w:sz w:val="21"/>
          <w:szCs w:val="21"/>
          <w:u w:val="single"/>
        </w:rPr>
        <w:t>blem.</w:t>
      </w:r>
      <w:r w:rsidR="005B3527" w:rsidRPr="006A4D4F">
        <w:rPr>
          <w:rFonts w:ascii="Roboto Light" w:hAnsi="Roboto Light" w:cs="Arial"/>
          <w:color w:val="202426"/>
          <w:sz w:val="21"/>
          <w:szCs w:val="21"/>
        </w:rPr>
        <w:t xml:space="preserve"> </w:t>
      </w:r>
      <w:r w:rsidR="00A2797D" w:rsidRPr="006A4D4F">
        <w:rPr>
          <w:rFonts w:ascii="Roboto Light" w:hAnsi="Roboto Light" w:cs="Arial"/>
          <w:color w:val="202426"/>
          <w:sz w:val="21"/>
          <w:szCs w:val="21"/>
        </w:rPr>
        <w:t xml:space="preserve">High prices inhibit appropriate use of </w:t>
      </w:r>
      <w:r w:rsidR="001D521F" w:rsidRPr="006A4D4F">
        <w:rPr>
          <w:rFonts w:ascii="Roboto Light" w:hAnsi="Roboto Light" w:cs="Arial"/>
          <w:color w:val="202426"/>
          <w:sz w:val="21"/>
          <w:szCs w:val="21"/>
        </w:rPr>
        <w:t xml:space="preserve">pharmaceuticals. </w:t>
      </w:r>
      <w:r w:rsidR="00805D19" w:rsidRPr="006A4D4F">
        <w:rPr>
          <w:rFonts w:ascii="Roboto Light" w:hAnsi="Roboto Light" w:cs="Arial"/>
          <w:color w:val="202426"/>
          <w:sz w:val="21"/>
          <w:szCs w:val="21"/>
        </w:rPr>
        <w:t>M</w:t>
      </w:r>
      <w:r w:rsidR="0068200F" w:rsidRPr="006A4D4F">
        <w:rPr>
          <w:rFonts w:ascii="Roboto Light" w:hAnsi="Roboto Light" w:cs="Arial"/>
          <w:color w:val="202426"/>
          <w:sz w:val="21"/>
          <w:szCs w:val="21"/>
        </w:rPr>
        <w:t>any drugs, and especially those that address the needs of small patient p</w:t>
      </w:r>
      <w:r w:rsidR="00557322" w:rsidRPr="006A4D4F">
        <w:rPr>
          <w:rFonts w:ascii="Roboto Light" w:hAnsi="Roboto Light" w:cs="Arial"/>
          <w:color w:val="202426"/>
          <w:sz w:val="21"/>
          <w:szCs w:val="21"/>
        </w:rPr>
        <w:t>opulations, are priced at levels that inhibit usage, a phenomenon that is o</w:t>
      </w:r>
      <w:r w:rsidR="001A7AD0" w:rsidRPr="006A4D4F">
        <w:rPr>
          <w:rFonts w:ascii="Roboto Light" w:hAnsi="Roboto Light" w:cs="Arial"/>
          <w:color w:val="202426"/>
          <w:sz w:val="21"/>
          <w:szCs w:val="21"/>
        </w:rPr>
        <w:t>bserved regardless of insurance status. For uninsured</w:t>
      </w:r>
      <w:r w:rsidR="00775A14" w:rsidRPr="006A4D4F">
        <w:rPr>
          <w:rFonts w:ascii="Roboto Light" w:hAnsi="Roboto Light" w:cs="Arial"/>
          <w:color w:val="202426"/>
          <w:sz w:val="21"/>
          <w:szCs w:val="21"/>
        </w:rPr>
        <w:t xml:space="preserve"> patients, high prices </w:t>
      </w:r>
      <w:r w:rsidR="004C4B34" w:rsidRPr="006A4D4F">
        <w:rPr>
          <w:rFonts w:ascii="Roboto Light" w:hAnsi="Roboto Light" w:cs="Arial"/>
          <w:color w:val="202426"/>
          <w:sz w:val="21"/>
          <w:szCs w:val="21"/>
        </w:rPr>
        <w:t xml:space="preserve">naturally </w:t>
      </w:r>
      <w:r w:rsidR="00853A8A" w:rsidRPr="006A4D4F">
        <w:rPr>
          <w:rFonts w:ascii="Roboto Light" w:hAnsi="Roboto Light" w:cs="Arial"/>
          <w:color w:val="202426"/>
          <w:sz w:val="21"/>
          <w:szCs w:val="21"/>
        </w:rPr>
        <w:t xml:space="preserve">deter use: patients </w:t>
      </w:r>
      <w:r w:rsidR="0068527A" w:rsidRPr="006A4D4F">
        <w:rPr>
          <w:rFonts w:ascii="Roboto Light" w:hAnsi="Roboto Light" w:cs="Arial"/>
          <w:color w:val="202426"/>
          <w:sz w:val="21"/>
          <w:szCs w:val="21"/>
        </w:rPr>
        <w:t>do not fill prescriptions</w:t>
      </w:r>
      <w:r w:rsidR="007058B2" w:rsidRPr="006A4D4F">
        <w:rPr>
          <w:rFonts w:ascii="Roboto Light" w:hAnsi="Roboto Light" w:cs="Arial"/>
          <w:color w:val="202426"/>
          <w:sz w:val="21"/>
          <w:szCs w:val="21"/>
        </w:rPr>
        <w:t>,</w:t>
      </w:r>
      <w:r w:rsidR="0068527A" w:rsidRPr="006A4D4F">
        <w:rPr>
          <w:rFonts w:ascii="Roboto Light" w:hAnsi="Roboto Light" w:cs="Arial"/>
          <w:color w:val="202426"/>
          <w:sz w:val="21"/>
          <w:szCs w:val="21"/>
        </w:rPr>
        <w:t xml:space="preserve"> or split pills to stretch out the effect; or in some cases </w:t>
      </w:r>
      <w:r w:rsidR="007058B2" w:rsidRPr="006A4D4F">
        <w:rPr>
          <w:rFonts w:ascii="Roboto Light" w:hAnsi="Roboto Light" w:cs="Arial"/>
          <w:color w:val="202426"/>
          <w:sz w:val="21"/>
          <w:szCs w:val="21"/>
        </w:rPr>
        <w:t xml:space="preserve">clinicians may be deterred from even writing prescriptions in the first place. </w:t>
      </w:r>
      <w:r w:rsidR="00360D2E" w:rsidRPr="006A4D4F">
        <w:rPr>
          <w:rFonts w:ascii="Roboto Light" w:hAnsi="Roboto Light" w:cs="Arial"/>
          <w:color w:val="202426"/>
          <w:sz w:val="21"/>
          <w:szCs w:val="21"/>
        </w:rPr>
        <w:t>Whil</w:t>
      </w:r>
      <w:r w:rsidR="0011473B" w:rsidRPr="006A4D4F">
        <w:rPr>
          <w:rFonts w:ascii="Roboto Light" w:hAnsi="Roboto Light" w:cs="Arial"/>
          <w:color w:val="202426"/>
          <w:sz w:val="21"/>
          <w:szCs w:val="21"/>
        </w:rPr>
        <w:t xml:space="preserve">e most people in OECD countries have insurance for prescribed drugs, </w:t>
      </w:r>
      <w:r w:rsidR="003D4A9A" w:rsidRPr="006A4D4F">
        <w:rPr>
          <w:rFonts w:ascii="Roboto Light" w:hAnsi="Roboto Light" w:cs="Arial"/>
          <w:color w:val="202426"/>
          <w:sz w:val="21"/>
          <w:szCs w:val="21"/>
        </w:rPr>
        <w:t>price still limits access in important ways.</w:t>
      </w:r>
    </w:p>
    <w:p w14:paraId="24EE9D8C" w14:textId="561625B2" w:rsidR="00734FFD" w:rsidRPr="006A4D4F" w:rsidRDefault="007A63FC" w:rsidP="00F02D43">
      <w:pPr>
        <w:rPr>
          <w:rFonts w:ascii="Roboto Light" w:hAnsi="Roboto Light" w:cs="Arial"/>
          <w:color w:val="202426"/>
          <w:sz w:val="21"/>
          <w:szCs w:val="21"/>
        </w:rPr>
      </w:pPr>
      <w:r w:rsidRPr="006A4D4F">
        <w:rPr>
          <w:rFonts w:ascii="Roboto Light" w:hAnsi="Roboto Light" w:cs="Arial"/>
          <w:color w:val="202426"/>
          <w:sz w:val="21"/>
          <w:szCs w:val="21"/>
        </w:rPr>
        <w:t>First, t</w:t>
      </w:r>
      <w:r w:rsidR="00F02D43" w:rsidRPr="006A4D4F">
        <w:rPr>
          <w:rFonts w:ascii="Roboto Light" w:hAnsi="Roboto Light" w:cs="Arial"/>
          <w:color w:val="202426"/>
          <w:sz w:val="21"/>
          <w:szCs w:val="21"/>
        </w:rPr>
        <w:t>he decision by the insurer whether to include the drug in the formulary and for which indications or with what restrictions is often driven by the price. Thus, access can be restricted by the insurer because of price, even before the patient comes into view.</w:t>
      </w:r>
      <w:r w:rsidR="000328D2" w:rsidRPr="006A4D4F">
        <w:rPr>
          <w:rFonts w:ascii="Roboto Light" w:hAnsi="Roboto Light" w:cs="Arial"/>
          <w:color w:val="202426"/>
          <w:sz w:val="21"/>
          <w:szCs w:val="21"/>
        </w:rPr>
        <w:t xml:space="preserve"> Moreover, patients often face proportional co-payments. For example, in some Canadian provinces, patients pay a co-payment of 30% of the drug price. This leads, not surprisingly, to cost-based non-</w:t>
      </w:r>
      <w:r w:rsidR="00C967F7" w:rsidRPr="006A4D4F">
        <w:rPr>
          <w:rFonts w:ascii="Roboto Light" w:hAnsi="Roboto Light" w:cs="Arial"/>
          <w:color w:val="202426"/>
          <w:sz w:val="21"/>
          <w:szCs w:val="21"/>
        </w:rPr>
        <w:t>adhere</w:t>
      </w:r>
      <w:r w:rsidR="000328D2" w:rsidRPr="006A4D4F">
        <w:rPr>
          <w:rFonts w:ascii="Roboto Light" w:hAnsi="Roboto Light" w:cs="Arial"/>
          <w:color w:val="202426"/>
          <w:sz w:val="21"/>
          <w:szCs w:val="21"/>
        </w:rPr>
        <w:t xml:space="preserve">nce. </w:t>
      </w:r>
      <w:r w:rsidR="000328D2"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{"citationItems":[{"id":"ITEM-1","itemData":{"author":[{"dropping-particle":"","family":"Law","given":"Michael R","non-dropping-particle":"","parse-names":false,"suffix":""},{"dropping-particle":"","family":"Cheng","given":"Lucy","non-dropping-particle":"","parse-names":false,"suffix":""},{"dropping-particle":"","family":"Dhalla","given":"Irfan A","non-dropping-particle":"","parse-names":false,"suffix":""},{"dropping-particle":"","family":"Heard","given":"Deborah","non-dropping-particle":"","parse-names":false,"suffix":""},{"dropping-particle":"","family":"Morgan","given":"Steven G","non-dropping-particle":"","parse-names":false,"suffix":""}],"container-title":"Cmaj","id":"ITEM-1","issue":"3","issued":{"date-parts":[["2012"]]},"page":"297-302","publisher":"Can Med Assoc","title":"The effect of cost on adherence to prescription medications in Canada","type":"article-journal","volume":"184"},"uris":["http://www.mendeley.com/documents/?uuid=902f00d9-b1b3-4df0-be00-96fedc9f8f60"]}],"mendeley":{"formattedCitation":"(14)","plainTextFormattedCitation":"(14)","previouslyFormattedCitation":"(14)"},"properties":{"noteIndex":0},"schema":"https://github.com/citation-style-language/schema/raw/master/csl-citation.json"}</w:instrText>
      </w:r>
      <w:r w:rsidR="000328D2"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(14)</w:t>
      </w:r>
      <w:r w:rsidR="000328D2" w:rsidRPr="006A4D4F">
        <w:rPr>
          <w:rFonts w:ascii="Roboto Light" w:hAnsi="Roboto Light" w:cs="Arial"/>
          <w:color w:val="202426"/>
          <w:sz w:val="21"/>
          <w:szCs w:val="21"/>
        </w:rPr>
        <w:fldChar w:fldCharType="end"/>
      </w:r>
    </w:p>
    <w:p w14:paraId="55752EC7" w14:textId="287549BF" w:rsidR="004058B0" w:rsidRPr="006A4D4F" w:rsidRDefault="00C967F7" w:rsidP="00C967F7">
      <w:pPr>
        <w:rPr>
          <w:rFonts w:ascii="Roboto Light" w:hAnsi="Roboto Light" w:cs="Arial"/>
          <w:color w:val="202426"/>
          <w:sz w:val="21"/>
          <w:szCs w:val="21"/>
        </w:rPr>
      </w:pPr>
      <w:r w:rsidRPr="006A4D4F">
        <w:rPr>
          <w:rFonts w:ascii="Roboto Light" w:hAnsi="Roboto Light" w:cs="Arial"/>
          <w:color w:val="202426"/>
          <w:sz w:val="21"/>
          <w:szCs w:val="21"/>
        </w:rPr>
        <w:t>Pricing affects usage in hospital setting</w:t>
      </w:r>
      <w:r w:rsidR="00235FB9" w:rsidRPr="006A4D4F">
        <w:rPr>
          <w:rFonts w:ascii="Roboto Light" w:hAnsi="Roboto Light" w:cs="Arial"/>
          <w:color w:val="202426"/>
          <w:sz w:val="21"/>
          <w:szCs w:val="21"/>
        </w:rPr>
        <w:t>s</w:t>
      </w:r>
      <w:r w:rsidRPr="006A4D4F">
        <w:rPr>
          <w:rFonts w:ascii="Roboto Light" w:hAnsi="Roboto Light" w:cs="Arial"/>
          <w:color w:val="202426"/>
          <w:sz w:val="21"/>
          <w:szCs w:val="21"/>
        </w:rPr>
        <w:t xml:space="preserve"> as well. In</w:t>
      </w:r>
      <w:r w:rsidR="00F02D43" w:rsidRPr="006A4D4F">
        <w:rPr>
          <w:rFonts w:ascii="Roboto Light" w:hAnsi="Roboto Light" w:cs="Arial"/>
          <w:color w:val="202426"/>
          <w:sz w:val="21"/>
          <w:szCs w:val="21"/>
        </w:rPr>
        <w:t xml:space="preserve"> many systems, such as the NHS, local authorities (e.g., “Integrated Care Systems”) with fixed budgets are given further incentives through prices to minimize the use of costly therapies, even if the therapies are approved for insurance coverage. </w:t>
      </w:r>
      <w:r w:rsidRPr="006A4D4F">
        <w:rPr>
          <w:rFonts w:ascii="Roboto Light" w:hAnsi="Roboto Light" w:cs="Arial"/>
          <w:color w:val="202426"/>
          <w:sz w:val="21"/>
          <w:szCs w:val="21"/>
        </w:rPr>
        <w:t xml:space="preserve">For example, in the Antibiotic Subscription Pilot in the UK, even though the </w:t>
      </w:r>
      <w:r w:rsidR="009744AA" w:rsidRPr="006A4D4F">
        <w:rPr>
          <w:rFonts w:ascii="Roboto Light" w:hAnsi="Roboto Light" w:cs="Arial"/>
          <w:color w:val="202426"/>
          <w:sz w:val="21"/>
          <w:szCs w:val="21"/>
        </w:rPr>
        <w:t xml:space="preserve">per unit </w:t>
      </w:r>
      <w:r w:rsidRPr="006A4D4F">
        <w:rPr>
          <w:rFonts w:ascii="Roboto Light" w:hAnsi="Roboto Light" w:cs="Arial"/>
          <w:color w:val="202426"/>
          <w:sz w:val="21"/>
          <w:szCs w:val="21"/>
        </w:rPr>
        <w:lastRenderedPageBreak/>
        <w:t xml:space="preserve">payment by the NHS to the company is zero, the transaction price faced by hospitals for acquiring antibiotics under the pilot is positive, so that there will be appropriate use of these products. </w:t>
      </w:r>
      <w:r w:rsidR="00F02D43" w:rsidRPr="006A4D4F">
        <w:rPr>
          <w:rFonts w:ascii="Roboto Light" w:hAnsi="Roboto Light" w:cs="Arial"/>
          <w:color w:val="202426"/>
          <w:sz w:val="21"/>
          <w:szCs w:val="21"/>
        </w:rPr>
        <w:t xml:space="preserve">Price plays an important role in the management of health systems because it is a clear, transparent signal. </w:t>
      </w:r>
    </w:p>
    <w:p w14:paraId="5FD1C5D2" w14:textId="3A1245D8" w:rsidR="00F02D43" w:rsidRPr="006A4D4F" w:rsidRDefault="00F02D43" w:rsidP="00F02D43">
      <w:pPr>
        <w:rPr>
          <w:rFonts w:ascii="Roboto Light" w:hAnsi="Roboto Light" w:cs="Arial"/>
          <w:color w:val="202426"/>
          <w:sz w:val="21"/>
          <w:szCs w:val="21"/>
        </w:rPr>
      </w:pPr>
      <w:r w:rsidRPr="006A4D4F">
        <w:rPr>
          <w:rFonts w:ascii="Roboto Light" w:hAnsi="Roboto Light" w:cs="Arial"/>
          <w:color w:val="202426"/>
          <w:sz w:val="21"/>
          <w:szCs w:val="21"/>
        </w:rPr>
        <w:t xml:space="preserve">As a signal, an inefficiently high price is a failure. When the true marginal cost of treating another person is only the cost of manufacturing some additional pills, but the price is a thousand times as high, the insurer, local authorities, prescribers and perhaps patients receive the wrong signal about the true cost. </w:t>
      </w:r>
      <w:r w:rsidR="00C629F9" w:rsidRPr="006A4D4F">
        <w:rPr>
          <w:rFonts w:ascii="Roboto Light" w:hAnsi="Roboto Light" w:cs="Arial"/>
          <w:color w:val="202426"/>
          <w:sz w:val="21"/>
          <w:szCs w:val="21"/>
        </w:rPr>
        <w:t xml:space="preserve">To put this another way, once research and development costs have been incurred, they are “sunk” (in the jargon of economics) and cannot be recovered. The true social costs </w:t>
      </w:r>
      <w:r w:rsidR="00235FB9" w:rsidRPr="006A4D4F">
        <w:rPr>
          <w:rFonts w:ascii="Roboto Light" w:hAnsi="Roboto Light" w:cs="Arial"/>
          <w:color w:val="202426"/>
          <w:sz w:val="21"/>
          <w:szCs w:val="21"/>
        </w:rPr>
        <w:t>of</w:t>
      </w:r>
      <w:r w:rsidR="00C629F9" w:rsidRPr="006A4D4F">
        <w:rPr>
          <w:rFonts w:ascii="Roboto Light" w:hAnsi="Roboto Light" w:cs="Arial"/>
          <w:color w:val="202426"/>
          <w:sz w:val="21"/>
          <w:szCs w:val="21"/>
        </w:rPr>
        <w:t xml:space="preserve"> supplying another tablet are therefore only the production and distribution costs. Efficiency requires that the price reflect only these costs. </w:t>
      </w:r>
    </w:p>
    <w:p w14:paraId="04A91F2A" w14:textId="4D8D89AE" w:rsidR="004058B0" w:rsidRPr="006A4D4F" w:rsidRDefault="00571B9E" w:rsidP="00F02D43">
      <w:pPr>
        <w:rPr>
          <w:rFonts w:ascii="Roboto Light" w:hAnsi="Roboto Light" w:cs="Arial"/>
          <w:color w:val="202426"/>
          <w:sz w:val="21"/>
          <w:szCs w:val="21"/>
        </w:rPr>
      </w:pPr>
      <w:r w:rsidRPr="006A4D4F">
        <w:rPr>
          <w:rFonts w:ascii="Roboto Light" w:hAnsi="Roboto Light" w:cs="Arial"/>
          <w:color w:val="202426"/>
          <w:sz w:val="21"/>
          <w:szCs w:val="21"/>
          <w:u w:val="single"/>
        </w:rPr>
        <w:t>ODRS as a solution.</w:t>
      </w:r>
      <w:r w:rsidRPr="006A4D4F">
        <w:rPr>
          <w:rFonts w:ascii="Roboto Light" w:hAnsi="Roboto Light" w:cs="Arial"/>
          <w:b/>
          <w:bCs/>
          <w:color w:val="202426"/>
          <w:sz w:val="21"/>
          <w:szCs w:val="21"/>
        </w:rPr>
        <w:t xml:space="preserve"> </w:t>
      </w:r>
      <w:r w:rsidR="00F02D43" w:rsidRPr="006A4D4F">
        <w:rPr>
          <w:rFonts w:ascii="Roboto Light" w:hAnsi="Roboto Light" w:cs="Arial"/>
          <w:color w:val="202426"/>
          <w:sz w:val="21"/>
          <w:szCs w:val="21"/>
        </w:rPr>
        <w:t>The ODRS can help to address this</w:t>
      </w:r>
      <w:r w:rsidR="00C629F9" w:rsidRPr="006A4D4F">
        <w:rPr>
          <w:rFonts w:ascii="Roboto Light" w:hAnsi="Roboto Light" w:cs="Arial"/>
          <w:color w:val="202426"/>
          <w:sz w:val="21"/>
          <w:szCs w:val="21"/>
        </w:rPr>
        <w:t xml:space="preserve"> because the transaction price for products in the ODRS reflect</w:t>
      </w:r>
      <w:r w:rsidR="00235FB9" w:rsidRPr="006A4D4F">
        <w:rPr>
          <w:rFonts w:ascii="Roboto Light" w:hAnsi="Roboto Light" w:cs="Arial"/>
          <w:color w:val="202426"/>
          <w:sz w:val="21"/>
          <w:szCs w:val="21"/>
        </w:rPr>
        <w:t>s</w:t>
      </w:r>
      <w:r w:rsidR="00C629F9" w:rsidRPr="006A4D4F">
        <w:rPr>
          <w:rFonts w:ascii="Roboto Light" w:hAnsi="Roboto Light" w:cs="Arial"/>
          <w:color w:val="202426"/>
          <w:sz w:val="21"/>
          <w:szCs w:val="21"/>
        </w:rPr>
        <w:t xml:space="preserve"> only variable costs. This will lead to </w:t>
      </w:r>
      <w:r w:rsidR="00C629F9" w:rsidRPr="006A4D4F">
        <w:rPr>
          <w:rFonts w:ascii="Roboto Medium" w:hAnsi="Roboto Medium" w:cs="Arial"/>
          <w:color w:val="202426"/>
          <w:sz w:val="21"/>
          <w:szCs w:val="21"/>
        </w:rPr>
        <w:t>socially efficient purchasing and prescribing</w:t>
      </w:r>
      <w:r w:rsidR="00C629F9" w:rsidRPr="006A4D4F">
        <w:rPr>
          <w:rFonts w:ascii="Roboto Light" w:hAnsi="Roboto Light" w:cs="Arial"/>
          <w:color w:val="202426"/>
          <w:sz w:val="21"/>
          <w:szCs w:val="21"/>
        </w:rPr>
        <w:t xml:space="preserve">. Insurers will not exclude </w:t>
      </w:r>
      <w:r w:rsidR="004058B0" w:rsidRPr="006A4D4F">
        <w:rPr>
          <w:rFonts w:ascii="Roboto Light" w:hAnsi="Roboto Light" w:cs="Arial"/>
          <w:color w:val="202426"/>
          <w:sz w:val="21"/>
          <w:szCs w:val="21"/>
        </w:rPr>
        <w:t xml:space="preserve">ODRS products from the formulary or impose usage limitations </w:t>
      </w:r>
      <w:r w:rsidR="00235FB9" w:rsidRPr="006A4D4F">
        <w:rPr>
          <w:rFonts w:ascii="Roboto Light" w:hAnsi="Roboto Light" w:cs="Arial"/>
          <w:color w:val="202426"/>
          <w:sz w:val="21"/>
          <w:szCs w:val="21"/>
        </w:rPr>
        <w:t>because of</w:t>
      </w:r>
      <w:r w:rsidR="004058B0" w:rsidRPr="006A4D4F">
        <w:rPr>
          <w:rFonts w:ascii="Roboto Light" w:hAnsi="Roboto Light" w:cs="Arial"/>
          <w:color w:val="202426"/>
          <w:sz w:val="21"/>
          <w:szCs w:val="21"/>
        </w:rPr>
        <w:t xml:space="preserve"> high prices. </w:t>
      </w:r>
      <w:r w:rsidR="00A83A33" w:rsidRPr="006A4D4F">
        <w:rPr>
          <w:rFonts w:ascii="Roboto Light" w:hAnsi="Roboto Light" w:cs="Arial"/>
          <w:color w:val="202426"/>
          <w:sz w:val="21"/>
          <w:szCs w:val="21"/>
        </w:rPr>
        <w:t>And patients will not be deterred from use because of high prices or high co-payments.</w:t>
      </w:r>
    </w:p>
    <w:p w14:paraId="711C25DA" w14:textId="30E0B7D0" w:rsidR="004058B0" w:rsidRPr="006A4D4F" w:rsidRDefault="004E6D7C" w:rsidP="00F02D43">
      <w:pPr>
        <w:rPr>
          <w:rFonts w:ascii="Roboto Light" w:hAnsi="Roboto Light" w:cs="Arial"/>
          <w:color w:val="202426"/>
          <w:sz w:val="21"/>
          <w:szCs w:val="21"/>
        </w:rPr>
      </w:pPr>
      <w:r w:rsidRPr="006A4D4F">
        <w:rPr>
          <w:rFonts w:ascii="Roboto Light" w:hAnsi="Roboto Light" w:cs="Arial"/>
          <w:color w:val="202426"/>
          <w:sz w:val="21"/>
          <w:szCs w:val="21"/>
        </w:rPr>
        <w:t>An instructive example of how price matters is international experience with direct-acting antivirals (DAAs) for HCV.</w:t>
      </w:r>
      <w:r w:rsidR="005626C5" w:rsidRPr="006A4D4F">
        <w:rPr>
          <w:rFonts w:ascii="Roboto Light" w:hAnsi="Roboto Light" w:cs="Arial"/>
          <w:color w:val="202426"/>
          <w:sz w:val="21"/>
          <w:szCs w:val="21"/>
        </w:rPr>
        <w:t xml:space="preserve"> It was evident from the beginning that all patients with hepatitis C infections should be treated with these highly</w:t>
      </w:r>
      <w:r w:rsidR="009744AA" w:rsidRPr="006A4D4F">
        <w:rPr>
          <w:rFonts w:ascii="Roboto Light" w:hAnsi="Roboto Light" w:cs="Arial"/>
          <w:color w:val="202426"/>
          <w:sz w:val="21"/>
          <w:szCs w:val="21"/>
        </w:rPr>
        <w:t xml:space="preserve"> </w:t>
      </w:r>
      <w:r w:rsidR="005626C5" w:rsidRPr="006A4D4F">
        <w:rPr>
          <w:rFonts w:ascii="Roboto Light" w:hAnsi="Roboto Light" w:cs="Arial"/>
          <w:color w:val="202426"/>
          <w:sz w:val="21"/>
          <w:szCs w:val="21"/>
        </w:rPr>
        <w:t xml:space="preserve">effective drugs, but because of pricing, access to the drugs was limited in many countries based on the expected benefit. </w:t>
      </w:r>
      <w:r w:rsidR="005626C5"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{"citationItems":[{"id":"ITEM-1","itemData":{"author":[{"dropping-particle":"","family":"National Institute for Health and Care Excellence","given":"","non-dropping-particle":"","parse-names":false,"suffix":""}],"id":"ITEM-1","issued":{"date-parts":[["2015"]]},"title":"Sofosbuvir for treating chronic hepatitis C Technology appraisal guidance [TA330]","type":"report"},"uris":["http://www.mendeley.com/documents/?uuid=826a4b6f-0ead-4a7f-a761-4a63ff94d832"]},{"id":"ITEM-2","itemData":{"author":[{"dropping-particle":"","family":"Canary","given":"Lauren A","non-dropping-particle":"","parse-names":false,"suffix":""},{"dropping-particle":"","family":"Klevens","given":"R Monina","non-dropping-particle":"","parse-names":false,"suffix":""},{"dropping-particle":"","family":"Holmberg","given":"Scott D","non-dropping-particle":"","parse-names":false,"suffix":""}],"container-title":"Annals of internal medicine","id":"ITEM-2","issue":"3","issued":{"date-parts":[["2015"]]},"page":"226-228","publisher":"American College of Physicians","title":"Limited access to new hepatitis C virus treatment under state Medicaid programs","type":"article","volume":"163"},"uris":["http://www.mendeley.com/documents/?uuid=e9aef2db-c50a-4762-ab65-f0da24370404"]},{"id":"ITEM-3","itemData":{"author":[{"dropping-particle":"","family":"Marshall","given":"Alison D","non-dropping-particle":"","parse-names":false,"suffix":""},{"dropping-particle":"","family":"Saeed","given":"Sahar","non-dropping-particle":"","parse-names":false,"suffix":""},{"dropping-particle":"","family":"Barrett","given":"Lisa","non-dropping-particle":"","parse-names":false,"suffix":""},{"dropping-particle":"","family":"Cooper","given":"Curtis L","non-dropping-particle":"","parse-names":false,"suffix":""},{"dropping-particle":"","family":"Treloar","given":"Carla","non-dropping-particle":"","parse-names":false,"suffix":""},{"dropping-particle":"","family":"Bruneau","given":"Julie","non-dropping-particle":"","parse-names":false,"suffix":""},{"dropping-particle":"","family":"Feld","given":"Jordan J","non-dropping-particle":"","parse-names":false,"suffix":""},{"dropping-particle":"","family":"Gallagher","given":"Lesley","non-dropping-particle":"","parse-names":false,"suffix":""},{"dropping-particle":"","family":"Klein","given":"Marina B","non-dropping-particle":"","parse-names":false,"suffix":""},{"dropping-particle":"","family":"Krajden","given":"Mel","non-dropping-particle":"","parse-names":false,"suffix":""},{"dropping-particle":"","family":"others","given":"","non-dropping-particle":"","parse-names":false,"suffix":""}],"container-title":"Canadian Medical Association Open Access Journal","id":"ITEM-3","issue":"4","issued":{"date-parts":[["2016"]]},"page":"E605--E614","publisher":"Canadian Medical Association Open Access Journal","title":"Restrictions for reimbursement of direct-acting antiviral treatment for hepatitis C virus infection in Canada: a descriptive study","type":"article-journal","volume":"4"},"uris":["http://www.mendeley.com/documents/?uuid=ec269bba-c346-411f-8da1-9d0bbcd916c4"]}],"mendeley":{"formattedCitation":"(15–17)","plainTextFormattedCitation":"(15–17)","previouslyFormattedCitation":"(15–17)"},"properties":{"noteIndex":0},"schema":"https://github.com/citation-style-language/schema/raw/master/csl-citation.json"}</w:instrText>
      </w:r>
      <w:r w:rsidR="005626C5"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(15–17)</w:t>
      </w:r>
      <w:r w:rsidR="005626C5" w:rsidRPr="006A4D4F">
        <w:rPr>
          <w:rFonts w:ascii="Roboto Light" w:hAnsi="Roboto Light" w:cs="Arial"/>
          <w:color w:val="202426"/>
          <w:sz w:val="21"/>
          <w:szCs w:val="21"/>
        </w:rPr>
        <w:fldChar w:fldCharType="end"/>
      </w:r>
      <w:r w:rsidR="005626C5" w:rsidRPr="006A4D4F">
        <w:rPr>
          <w:rFonts w:ascii="Roboto Light" w:hAnsi="Roboto Light" w:cs="Arial"/>
          <w:color w:val="202426"/>
          <w:sz w:val="21"/>
          <w:szCs w:val="21"/>
        </w:rPr>
        <w:t xml:space="preserve"> This was doubly problematic: not only were many patients denied access</w:t>
      </w:r>
      <w:r w:rsidR="00235FB9" w:rsidRPr="006A4D4F">
        <w:rPr>
          <w:rFonts w:ascii="Roboto Light" w:hAnsi="Roboto Light" w:cs="Arial"/>
          <w:color w:val="202426"/>
          <w:sz w:val="21"/>
          <w:szCs w:val="21"/>
        </w:rPr>
        <w:t xml:space="preserve"> on the basis of cost</w:t>
      </w:r>
      <w:r w:rsidR="005626C5" w:rsidRPr="006A4D4F">
        <w:rPr>
          <w:rFonts w:ascii="Roboto Light" w:hAnsi="Roboto Light" w:cs="Arial"/>
          <w:color w:val="202426"/>
          <w:sz w:val="21"/>
          <w:szCs w:val="21"/>
        </w:rPr>
        <w:t xml:space="preserve">, </w:t>
      </w:r>
      <w:proofErr w:type="gramStart"/>
      <w:r w:rsidR="005626C5" w:rsidRPr="006A4D4F">
        <w:rPr>
          <w:rFonts w:ascii="Roboto Light" w:hAnsi="Roboto Light" w:cs="Arial"/>
          <w:color w:val="202426"/>
          <w:sz w:val="21"/>
          <w:szCs w:val="21"/>
        </w:rPr>
        <w:t>untreated patients</w:t>
      </w:r>
      <w:proofErr w:type="gramEnd"/>
      <w:r w:rsidR="005626C5" w:rsidRPr="006A4D4F">
        <w:rPr>
          <w:rFonts w:ascii="Roboto Light" w:hAnsi="Roboto Light" w:cs="Arial"/>
          <w:color w:val="202426"/>
          <w:sz w:val="21"/>
          <w:szCs w:val="21"/>
        </w:rPr>
        <w:t xml:space="preserve"> remained more likely to infect others. </w:t>
      </w:r>
      <w:proofErr w:type="gramStart"/>
      <w:r w:rsidRPr="006A4D4F">
        <w:rPr>
          <w:rFonts w:ascii="Roboto Light" w:hAnsi="Roboto Light" w:cs="Arial"/>
          <w:color w:val="202426"/>
          <w:sz w:val="21"/>
          <w:szCs w:val="21"/>
        </w:rPr>
        <w:t>In order to</w:t>
      </w:r>
      <w:proofErr w:type="gramEnd"/>
      <w:r w:rsidRPr="006A4D4F">
        <w:rPr>
          <w:rFonts w:ascii="Roboto Light" w:hAnsi="Roboto Light" w:cs="Arial"/>
          <w:color w:val="202426"/>
          <w:sz w:val="21"/>
          <w:szCs w:val="21"/>
        </w:rPr>
        <w:t xml:space="preserve"> avoid price </w:t>
      </w:r>
      <w:r w:rsidR="009744AA" w:rsidRPr="006A4D4F">
        <w:rPr>
          <w:rFonts w:ascii="Roboto Light" w:hAnsi="Roboto Light" w:cs="Arial"/>
          <w:color w:val="202426"/>
          <w:sz w:val="21"/>
          <w:szCs w:val="21"/>
        </w:rPr>
        <w:t>creating</w:t>
      </w:r>
      <w:r w:rsidRPr="006A4D4F">
        <w:rPr>
          <w:rFonts w:ascii="Roboto Light" w:hAnsi="Roboto Light" w:cs="Arial"/>
          <w:color w:val="202426"/>
          <w:sz w:val="21"/>
          <w:szCs w:val="21"/>
        </w:rPr>
        <w:t xml:space="preserve"> a deterrent to treatment, in 2016 Australia committed A$1.2bn for five years </w:t>
      </w:r>
      <w:r w:rsidR="009744AA" w:rsidRPr="006A4D4F">
        <w:rPr>
          <w:rFonts w:ascii="Roboto Light" w:hAnsi="Roboto Light" w:cs="Arial"/>
          <w:color w:val="202426"/>
          <w:sz w:val="21"/>
          <w:szCs w:val="21"/>
        </w:rPr>
        <w:t>to obtain</w:t>
      </w:r>
      <w:r w:rsidRPr="006A4D4F">
        <w:rPr>
          <w:rFonts w:ascii="Roboto Light" w:hAnsi="Roboto Light" w:cs="Arial"/>
          <w:color w:val="202426"/>
          <w:sz w:val="21"/>
          <w:szCs w:val="21"/>
        </w:rPr>
        <w:t xml:space="preserve"> unlimited DAAs in a risk-sharing agreement with pharmaceutical companies. </w:t>
      </w:r>
      <w:r w:rsidR="00A83A33" w:rsidRPr="006A4D4F">
        <w:rPr>
          <w:rFonts w:ascii="Roboto Light" w:hAnsi="Roboto Light" w:cs="Arial"/>
          <w:color w:val="202426"/>
          <w:sz w:val="21"/>
          <w:szCs w:val="21"/>
        </w:rPr>
        <w:t>I</w:t>
      </w:r>
      <w:r w:rsidRPr="006A4D4F">
        <w:rPr>
          <w:rFonts w:ascii="Roboto Light" w:hAnsi="Roboto Light" w:cs="Arial"/>
          <w:color w:val="202426"/>
          <w:sz w:val="21"/>
          <w:szCs w:val="21"/>
        </w:rPr>
        <w:t xml:space="preserve">n effect, this resembled a kind of ODRS, though specific to DAAs. The result was an accelerated uptake of these important drugs, enabling Australia to rapidly move towards elimination. A recent </w:t>
      </w:r>
      <w:r w:rsidR="00A83A33" w:rsidRPr="006A4D4F">
        <w:rPr>
          <w:rFonts w:ascii="Roboto Light" w:hAnsi="Roboto Light" w:cs="Arial"/>
          <w:color w:val="202426"/>
          <w:sz w:val="21"/>
          <w:szCs w:val="21"/>
        </w:rPr>
        <w:t>analysis</w:t>
      </w:r>
      <w:r w:rsidRPr="006A4D4F">
        <w:rPr>
          <w:rFonts w:ascii="Roboto Light" w:hAnsi="Roboto Light" w:cs="Arial"/>
          <w:color w:val="202426"/>
          <w:sz w:val="21"/>
          <w:szCs w:val="21"/>
        </w:rPr>
        <w:t xml:space="preserve"> shows that there </w:t>
      </w:r>
      <w:r w:rsidR="00A83A33" w:rsidRPr="006A4D4F">
        <w:rPr>
          <w:rFonts w:ascii="Roboto Light" w:hAnsi="Roboto Light" w:cs="Arial"/>
          <w:color w:val="202426"/>
          <w:sz w:val="21"/>
          <w:szCs w:val="21"/>
        </w:rPr>
        <w:t>was a large saving in healthcare costs and an even larger gain in productivity, compared to the case without this strategy.</w:t>
      </w:r>
      <w:r w:rsidR="00A83A33"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{"citationItems":[{"id":"ITEM-1","itemData":{"author":[{"dropping-particle":"","family":"Scott","given":"Nick","non-dropping-particle":"","parse-names":false,"suffix":""},{"dropping-particle":"","family":"Palmer","given":"Ms Anna","non-dropping-particle":"","parse-names":false,"suffix":""},{"dropping-particle":"","family":"Tidhar","given":"Mr Tom","non-dropping-particle":"","parse-names":false,"suffix":""},{"dropping-particle":"","family":"Stoove","given":"Mark","non-dropping-particle":"","parse-names":false,"suffix":""},{"dropping-particle":"","family":"Sacks-Davis","given":"Rachel","non-dropping-particle":"","parse-names":false,"suffix":""},{"dropping-particle":"","family":"Pedrana","given":"Alisa","non-dropping-particle":"","parse-names":false,"suffix":""},{"dropping-particle":"","family":"Thompson","given":"Alexander J","non-dropping-particle":"","parse-names":false,"suffix":""},{"dropping-particle":"","family":"Wilson","given":"David P","non-dropping-particle":"","parse-names":false,"suffix":""},{"dropping-particle":"","family":"Hellard","given":"Margaret","non-dropping-particle":"","parse-names":false,"suffix":""},{"dropping-particle":"","family":"others","given":"","non-dropping-particle":"","parse-names":false,"suffix":""}],"container-title":"The Lancet Regional Health-Western Pacific","id":"ITEM-1","issued":{"date-parts":[["2022"]]},"page":"100316","publisher":"Elsevier","title":"Assessment of the cost-effectiveness of Australia's risk-sharing agreement for direct-acting antiviral treatments for hepatitis C: a modelling study","type":"article-journal","volume":"18"},"uris":["http://www.mendeley.com/documents/?uuid=a5f9838d-b453-44ee-83f4-51270b9572a9"]}],"mendeley":{"formattedCitation":"(18)","plainTextFormattedCitation":"(18)","previouslyFormattedCitation":"(18)"},"properties":{"noteIndex":0},"schema":"https://github.com/citation-style-language/schema/raw/master/csl-citation.json"}</w:instrText>
      </w:r>
      <w:r w:rsidR="00A83A33"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(18)</w:t>
      </w:r>
      <w:r w:rsidR="00A83A33" w:rsidRPr="006A4D4F">
        <w:rPr>
          <w:rFonts w:ascii="Roboto Light" w:hAnsi="Roboto Light" w:cs="Arial"/>
          <w:color w:val="202426"/>
          <w:sz w:val="21"/>
          <w:szCs w:val="21"/>
        </w:rPr>
        <w:fldChar w:fldCharType="end"/>
      </w:r>
      <w:r w:rsidR="00A83A33" w:rsidRPr="006A4D4F">
        <w:rPr>
          <w:rFonts w:ascii="Roboto Light" w:hAnsi="Roboto Light" w:cs="Arial"/>
          <w:color w:val="202426"/>
          <w:sz w:val="21"/>
          <w:szCs w:val="21"/>
        </w:rPr>
        <w:t xml:space="preserve"> </w:t>
      </w:r>
    </w:p>
    <w:p w14:paraId="4EAA0EE5" w14:textId="77777777" w:rsidR="00F02D43" w:rsidRPr="006A4D4F" w:rsidRDefault="00F02D43" w:rsidP="00571B9E">
      <w:pPr>
        <w:pStyle w:val="Heading2"/>
        <w:rPr>
          <w:rFonts w:ascii="Roboto" w:hAnsi="Roboto"/>
          <w:b w:val="0"/>
          <w:bCs w:val="0"/>
          <w:caps/>
        </w:rPr>
      </w:pPr>
      <w:r w:rsidRPr="006A4D4F">
        <w:rPr>
          <w:rFonts w:ascii="Roboto" w:hAnsi="Roboto"/>
          <w:b w:val="0"/>
          <w:bCs w:val="0"/>
          <w:caps/>
        </w:rPr>
        <w:t>3.4 The ODRS enables efficient incentives for new indications</w:t>
      </w:r>
    </w:p>
    <w:p w14:paraId="69E07A95" w14:textId="53C3E1FE" w:rsidR="005626C5" w:rsidRPr="006A4D4F" w:rsidRDefault="00A83A33" w:rsidP="00A83A33">
      <w:pPr>
        <w:rPr>
          <w:rFonts w:ascii="Roboto Light" w:hAnsi="Roboto Light" w:cs="Arial"/>
          <w:color w:val="202426"/>
          <w:sz w:val="21"/>
          <w:szCs w:val="21"/>
        </w:rPr>
      </w:pPr>
      <w:r w:rsidRPr="006A4D4F">
        <w:rPr>
          <w:rFonts w:ascii="Roboto Light" w:hAnsi="Roboto Light" w:cs="Arial"/>
          <w:color w:val="202426"/>
          <w:sz w:val="21"/>
          <w:szCs w:val="21"/>
        </w:rPr>
        <w:t xml:space="preserve">Many drugs have multiple indications (or could have additional indications), but current pricing models provide weak incentives </w:t>
      </w:r>
      <w:r w:rsidR="00AC3276" w:rsidRPr="006A4D4F">
        <w:rPr>
          <w:rFonts w:ascii="Roboto Light" w:hAnsi="Roboto Light" w:cs="Arial"/>
          <w:color w:val="202426"/>
          <w:sz w:val="21"/>
          <w:szCs w:val="21"/>
        </w:rPr>
        <w:t xml:space="preserve">to develop additional indications and </w:t>
      </w:r>
      <w:r w:rsidR="00703681" w:rsidRPr="006A4D4F">
        <w:rPr>
          <w:rFonts w:ascii="Roboto Light" w:hAnsi="Roboto Light" w:cs="Arial"/>
          <w:color w:val="202426"/>
          <w:sz w:val="21"/>
          <w:szCs w:val="21"/>
        </w:rPr>
        <w:t xml:space="preserve">create </w:t>
      </w:r>
      <w:r w:rsidR="00AC3276" w:rsidRPr="006A4D4F">
        <w:rPr>
          <w:rFonts w:ascii="Roboto Light" w:hAnsi="Roboto Light" w:cs="Arial"/>
          <w:color w:val="202426"/>
          <w:sz w:val="21"/>
          <w:szCs w:val="21"/>
        </w:rPr>
        <w:t>inappropriate incentives for usage. These problems are linked and are challenging to solve.</w:t>
      </w:r>
      <w:r w:rsidR="005626C5" w:rsidRPr="006A4D4F">
        <w:rPr>
          <w:rFonts w:ascii="Roboto Light" w:hAnsi="Roboto Light" w:cs="Arial"/>
          <w:color w:val="202426"/>
          <w:sz w:val="21"/>
          <w:szCs w:val="21"/>
        </w:rPr>
        <w:t xml:space="preserve"> </w:t>
      </w:r>
    </w:p>
    <w:p w14:paraId="06AF02E7" w14:textId="3E2F6461" w:rsidR="005F589F" w:rsidRPr="006A4D4F" w:rsidRDefault="00703681" w:rsidP="00E14706">
      <w:pPr>
        <w:rPr>
          <w:rFonts w:ascii="Roboto Light" w:hAnsi="Roboto Light" w:cs="Arial"/>
          <w:color w:val="202426"/>
          <w:sz w:val="21"/>
          <w:szCs w:val="21"/>
        </w:rPr>
      </w:pPr>
      <w:r w:rsidRPr="006A4D4F">
        <w:rPr>
          <w:rFonts w:ascii="Roboto Light" w:hAnsi="Roboto Light" w:cs="Arial"/>
          <w:color w:val="202426"/>
          <w:sz w:val="21"/>
          <w:szCs w:val="21"/>
          <w:u w:val="single"/>
        </w:rPr>
        <w:t>Problem 1.</w:t>
      </w:r>
      <w:r w:rsidRPr="006A4D4F">
        <w:rPr>
          <w:rFonts w:ascii="Roboto Light" w:hAnsi="Roboto Light" w:cs="Arial"/>
          <w:color w:val="202426"/>
          <w:sz w:val="21"/>
          <w:szCs w:val="21"/>
        </w:rPr>
        <w:t xml:space="preserve"> </w:t>
      </w:r>
      <w:r w:rsidR="005626C5" w:rsidRPr="006A4D4F">
        <w:rPr>
          <w:rFonts w:ascii="Roboto Light" w:hAnsi="Roboto Light" w:cs="Arial"/>
          <w:color w:val="202426"/>
          <w:sz w:val="21"/>
          <w:szCs w:val="21"/>
        </w:rPr>
        <w:t xml:space="preserve">Consider first the problem of pricing drugs with multiple indications. </w:t>
      </w:r>
      <w:r w:rsidR="00A83A33" w:rsidRPr="006A4D4F">
        <w:rPr>
          <w:rFonts w:ascii="Roboto Light" w:hAnsi="Roboto Light" w:cs="Arial"/>
          <w:color w:val="202426"/>
          <w:sz w:val="21"/>
          <w:szCs w:val="21"/>
        </w:rPr>
        <w:t xml:space="preserve">On average, new drugs have about two indications. </w:t>
      </w:r>
      <w:r w:rsidR="00A83A33"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{"citationItems":[{"id":"ITEM-1","itemData":{"author":[{"dropping-particle":"","family":"Lurie","given":"B F","non-dropping-particle":"","parse-names":false,"suffix":""},{"dropping-particle":"","family":"Rubinstein","given":"J","non-dropping-particle":"","parse-names":false,"suffix":""},{"dropping-particle":"","family":"Rubinstein","given":"E R","non-dropping-particle":"","parse-names":false,"suffix":""},{"dropping-particle":"","family":"Rosenblum","given":"S B","non-dropping-particle":"","parse-names":false,"suffix":""},{"dropping-particle":"","family":"Ho","given":"Y","non-dropping-particle":"","parse-names":false,"suffix":""}],"container-title":"Value in Health","id":"ITEM-1","issue":"9","issued":{"date-parts":[["2017"]]},"page":"A900","publisher":"Elsevier","title":"Are Pharmaceutical Companies Prioritizing Multi-Indication Drugs?","type":"article-journal","volume":"20"},"uris":["http://www.mendeley.com/documents/?uuid=23ebecce-f5c7-47e7-83d8-2d2e8f89d22e"]}],"mendeley":{"formattedCitation":"(19)","plainTextFormattedCitation":"(19)","previouslyFormattedCitation":"(19)"},"properties":{"noteIndex":0},"schema":"https://github.com/citation-style-language/schema/raw/master/csl-citation.json"}</w:instrText>
      </w:r>
      <w:r w:rsidR="00A83A33"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(19)</w:t>
      </w:r>
      <w:r w:rsidR="00A83A33" w:rsidRPr="006A4D4F">
        <w:rPr>
          <w:rFonts w:ascii="Roboto Light" w:hAnsi="Roboto Light" w:cs="Arial"/>
          <w:color w:val="202426"/>
          <w:sz w:val="21"/>
          <w:szCs w:val="21"/>
        </w:rPr>
        <w:fldChar w:fldCharType="end"/>
      </w:r>
      <w:r w:rsidR="00A83A33" w:rsidRPr="006A4D4F">
        <w:rPr>
          <w:rFonts w:ascii="Roboto Light" w:hAnsi="Roboto Light" w:cs="Arial"/>
          <w:color w:val="202426"/>
          <w:sz w:val="21"/>
          <w:szCs w:val="21"/>
        </w:rPr>
        <w:t xml:space="preserve"> </w:t>
      </w:r>
      <w:r w:rsidR="005626C5" w:rsidRPr="006A4D4F">
        <w:rPr>
          <w:rFonts w:ascii="Roboto Light" w:hAnsi="Roboto Light" w:cs="Arial"/>
          <w:color w:val="202426"/>
          <w:sz w:val="21"/>
          <w:szCs w:val="21"/>
        </w:rPr>
        <w:t>Often, the indications have very different health benefits. For example, the health benefits of trastuzumab provided to late-stage breast cancer patients are three times larger than the ones provided to early-stage patients.</w:t>
      </w:r>
      <w:r w:rsidR="005626C5"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{"citationItems":[{"id":"ITEM-1","itemData":{"DOI":"10.1111/j.1524-4733.2009.00572.x","ISBN":"1524-4733","ISSN":"10983015","PMID":"19624617","abstract":"Pharmacoeconomic analyses typically project the expected cost-effectiveness of a new product for a specific indication. This analysis develops a dynamic life-cycle model to conduct a multi-indication evaluation using the case of trastuzumab licensed in the United States for both early-stage and metastatic (or late-stage) human epidermal growth factor receptor 2 (HER2)-positive breast cancer therapy (early breast cancer [EBC]; metastatic breast cancer [MBC]), approved in 2006 and 1998, respectively.","author":[{"dropping-particle":"","family":"Garrison","given":"Louis P.","non-dropping-particle":"","parse-names":false,"suffix":""},{"dropping-particle":"","family":"Veenstra","given":"David L.","non-dropping-particle":"","parse-names":false,"suffix":""}],"container-title":"Value in Health","id":"ITEM-1","issue":"8","issued":{"date-parts":[["2009"]]},"page":"1118-1123","publisher":"International Society for Pharmacoeconomics and Outcomes Research (ISPOR)","title":"The economic value of innovative treatments over the product life cycle: The case of targeted trastuzumab therapy for breast cancer","type":"article-journal","volume":"12"},"uris":["http://www.mendeley.com/documents/?uuid=1808187d-b95d-472a-af04-da9a2be243db"]}],"mendeley":{"formattedCitation":"(20)","plainTextFormattedCitation":"(20)","previouslyFormattedCitation":"(20)"},"properties":{"noteIndex":0},"schema":"https://github.com/citation-style-language/schema/raw/master/csl-citation.json"}</w:instrText>
      </w:r>
      <w:r w:rsidR="005626C5"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(20)</w:t>
      </w:r>
      <w:r w:rsidR="005626C5" w:rsidRPr="006A4D4F">
        <w:rPr>
          <w:rFonts w:ascii="Roboto Light" w:hAnsi="Roboto Light" w:cs="Arial"/>
          <w:color w:val="202426"/>
          <w:sz w:val="21"/>
          <w:szCs w:val="21"/>
        </w:rPr>
        <w:fldChar w:fldCharType="end"/>
      </w:r>
      <w:r w:rsidR="005626C5" w:rsidRPr="006A4D4F">
        <w:rPr>
          <w:rFonts w:ascii="Roboto Light" w:hAnsi="Roboto Light" w:cs="Arial"/>
          <w:color w:val="202426"/>
          <w:sz w:val="21"/>
          <w:szCs w:val="21"/>
        </w:rPr>
        <w:t xml:space="preserve"> Ideally the price of the drug might differ across indications</w:t>
      </w:r>
      <w:r w:rsidR="00EE186F" w:rsidRPr="006A4D4F">
        <w:rPr>
          <w:rFonts w:ascii="Roboto Light" w:hAnsi="Roboto Light" w:cs="Arial"/>
          <w:color w:val="202426"/>
          <w:sz w:val="21"/>
          <w:szCs w:val="21"/>
        </w:rPr>
        <w:t xml:space="preserve"> to reflect the value in each indication</w:t>
      </w:r>
      <w:r w:rsidR="005626C5" w:rsidRPr="006A4D4F">
        <w:rPr>
          <w:rFonts w:ascii="Roboto Light" w:hAnsi="Roboto Light" w:cs="Arial"/>
          <w:color w:val="202426"/>
          <w:sz w:val="21"/>
          <w:szCs w:val="21"/>
        </w:rPr>
        <w:t xml:space="preserve">. However, in our current pricing systems, it is difficult to offer a low price for one indication and a high price for another because of arbitrage. </w:t>
      </w:r>
    </w:p>
    <w:p w14:paraId="03CFB23E" w14:textId="7DB8A331" w:rsidR="005F589F" w:rsidRPr="006A4D4F" w:rsidRDefault="005F589F" w:rsidP="005F589F">
      <w:pPr>
        <w:rPr>
          <w:rFonts w:ascii="Roboto Light" w:hAnsi="Roboto Light" w:cs="Arial"/>
          <w:color w:val="202426"/>
          <w:sz w:val="21"/>
          <w:szCs w:val="21"/>
        </w:rPr>
      </w:pPr>
      <w:r w:rsidRPr="006A4D4F">
        <w:rPr>
          <w:rFonts w:ascii="Roboto Light" w:hAnsi="Roboto Light" w:cs="Arial"/>
          <w:color w:val="202426"/>
          <w:sz w:val="21"/>
          <w:szCs w:val="21"/>
        </w:rPr>
        <w:lastRenderedPageBreak/>
        <w:t>There are three typical responses. The first is for</w:t>
      </w:r>
      <w:r w:rsidR="005626C5" w:rsidRPr="006A4D4F">
        <w:rPr>
          <w:rFonts w:ascii="Roboto Light" w:hAnsi="Roboto Light" w:cs="Arial"/>
          <w:color w:val="202426"/>
          <w:sz w:val="21"/>
          <w:szCs w:val="21"/>
        </w:rPr>
        <w:t xml:space="preserve"> the firm </w:t>
      </w:r>
      <w:r w:rsidRPr="006A4D4F">
        <w:rPr>
          <w:rFonts w:ascii="Roboto Light" w:hAnsi="Roboto Light" w:cs="Arial"/>
          <w:color w:val="202426"/>
          <w:sz w:val="21"/>
          <w:szCs w:val="21"/>
        </w:rPr>
        <w:t xml:space="preserve">to </w:t>
      </w:r>
      <w:r w:rsidR="005626C5" w:rsidRPr="006A4D4F">
        <w:rPr>
          <w:rFonts w:ascii="Roboto Light" w:hAnsi="Roboto Light" w:cs="Arial"/>
          <w:color w:val="202426"/>
          <w:sz w:val="21"/>
          <w:szCs w:val="21"/>
        </w:rPr>
        <w:t xml:space="preserve">engage in price discrimination by separating out the products. An example is Pfizer’s pricing of sildenafil, which is available in 25mg, 50mg, and 100mg for erectile dysfunction </w:t>
      </w:r>
      <w:r w:rsidR="00196025" w:rsidRPr="006A4D4F">
        <w:rPr>
          <w:rFonts w:ascii="Roboto Light" w:hAnsi="Roboto Light" w:cs="Arial"/>
          <w:color w:val="202426"/>
          <w:sz w:val="21"/>
          <w:szCs w:val="21"/>
        </w:rPr>
        <w:t>or as 20mg tablet for pulmonary arterial hypertension. By keeping the dosages different, Pfizer was able to set distinct prices.</w:t>
      </w:r>
      <w:r w:rsidR="00196025"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{"citationItems":[{"id":"ITEM-1","itemData":{"author":[{"dropping-particle":"","family":"Pearson","given":"Steven D","non-dropping-particle":"","parse-names":false,"suffix":""},{"dropping-particle":"","family":"Dreitlein","given":"William B","non-dropping-particle":"","parse-names":false,"suffix":""},{"dropping-particle":"","family":"Henshall","given":"Chris","non-dropping-particle":"","parse-names":false,"suffix":""},{"dropping-particle":"","family":"Towse","given":"Adrian","non-dropping-particle":"","parse-names":false,"suffix":""}],"container-title":"Journal of comparative effectiveness research","id":"ITEM-1","issue":"5","issued":{"date-parts":[["2017"]]},"page":"397-404","publisher":"Future Medicine","title":"Indication-specific pricing of pharmaceuticals in the US healthcare system","type":"article-journal","volume":"6"},"uris":["http://www.mendeley.com/documents/?uuid=77104ca3-23a4-4715-b5c3-c3895358a182"]}],"mendeley":{"formattedCitation":"(21)","plainTextFormattedCitation":"(21)","previouslyFormattedCitation":"(21)"},"properties":{"noteIndex":0},"schema":"https://github.com/citation-style-language/schema/raw/master/csl-citation.json"}</w:instrText>
      </w:r>
      <w:r w:rsidR="00196025"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(21)</w:t>
      </w:r>
      <w:r w:rsidR="00196025" w:rsidRPr="006A4D4F">
        <w:rPr>
          <w:rFonts w:ascii="Roboto Light" w:hAnsi="Roboto Light" w:cs="Arial"/>
          <w:color w:val="202426"/>
          <w:sz w:val="21"/>
          <w:szCs w:val="21"/>
        </w:rPr>
        <w:fldChar w:fldCharType="end"/>
      </w:r>
      <w:r w:rsidR="00196025" w:rsidRPr="006A4D4F">
        <w:rPr>
          <w:rFonts w:ascii="Roboto Light" w:hAnsi="Roboto Light" w:cs="Arial"/>
          <w:color w:val="202426"/>
          <w:sz w:val="21"/>
          <w:szCs w:val="21"/>
        </w:rPr>
        <w:t xml:space="preserve"> </w:t>
      </w:r>
      <w:r w:rsidRPr="006A4D4F">
        <w:rPr>
          <w:rFonts w:ascii="Roboto Light" w:hAnsi="Roboto Light" w:cs="Arial"/>
          <w:color w:val="202426"/>
          <w:sz w:val="21"/>
          <w:szCs w:val="21"/>
        </w:rPr>
        <w:t>Unfortunately, this strategy is not always implement</w:t>
      </w:r>
      <w:r w:rsidR="00F72DC4" w:rsidRPr="006A4D4F">
        <w:rPr>
          <w:rFonts w:ascii="Roboto Light" w:hAnsi="Roboto Light" w:cs="Arial"/>
          <w:color w:val="202426"/>
          <w:sz w:val="21"/>
          <w:szCs w:val="21"/>
        </w:rPr>
        <w:t>able</w:t>
      </w:r>
      <w:r w:rsidRPr="006A4D4F">
        <w:rPr>
          <w:rFonts w:ascii="Roboto Light" w:hAnsi="Roboto Light" w:cs="Arial"/>
          <w:color w:val="202426"/>
          <w:sz w:val="21"/>
          <w:szCs w:val="21"/>
        </w:rPr>
        <w:t>, particularly if the different indications require similar dosages.</w:t>
      </w:r>
    </w:p>
    <w:p w14:paraId="1F4C7177" w14:textId="1C2CD0E8" w:rsidR="005F589F" w:rsidRPr="006A4D4F" w:rsidRDefault="005F589F" w:rsidP="005F589F">
      <w:pPr>
        <w:rPr>
          <w:rFonts w:ascii="Roboto Light" w:hAnsi="Roboto Light" w:cs="Arial"/>
          <w:color w:val="202426"/>
          <w:sz w:val="21"/>
          <w:szCs w:val="21"/>
        </w:rPr>
      </w:pPr>
      <w:r w:rsidRPr="006A4D4F">
        <w:rPr>
          <w:rFonts w:ascii="Roboto Light" w:hAnsi="Roboto Light" w:cs="Arial"/>
          <w:color w:val="202426"/>
          <w:sz w:val="21"/>
          <w:szCs w:val="21"/>
        </w:rPr>
        <w:t xml:space="preserve">A second response is </w:t>
      </w:r>
      <w:r w:rsidR="009744AA" w:rsidRPr="006A4D4F">
        <w:rPr>
          <w:rFonts w:ascii="Roboto Light" w:hAnsi="Roboto Light" w:cs="Arial"/>
          <w:color w:val="202426"/>
          <w:sz w:val="21"/>
          <w:szCs w:val="21"/>
        </w:rPr>
        <w:t>to set</w:t>
      </w:r>
      <w:r w:rsidRPr="006A4D4F">
        <w:rPr>
          <w:rFonts w:ascii="Roboto Light" w:hAnsi="Roboto Light" w:cs="Arial"/>
          <w:color w:val="202426"/>
          <w:sz w:val="21"/>
          <w:szCs w:val="21"/>
        </w:rPr>
        <w:t xml:space="preserve"> </w:t>
      </w:r>
      <w:r w:rsidR="00EE186F" w:rsidRPr="006A4D4F">
        <w:rPr>
          <w:rFonts w:ascii="Roboto Light" w:hAnsi="Roboto Light" w:cs="Arial"/>
          <w:color w:val="202426"/>
          <w:sz w:val="21"/>
          <w:szCs w:val="21"/>
        </w:rPr>
        <w:t xml:space="preserve">a </w:t>
      </w:r>
      <w:r w:rsidRPr="006A4D4F">
        <w:rPr>
          <w:rFonts w:ascii="Roboto Light" w:hAnsi="Roboto Light" w:cs="Arial"/>
          <w:color w:val="202426"/>
          <w:sz w:val="21"/>
          <w:szCs w:val="21"/>
        </w:rPr>
        <w:t>price based on the average value of all indications.</w:t>
      </w:r>
      <w:r w:rsidR="009744AA"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{"citationItems":[{"id":"ITEM-1","itemData":{"DOI":"10.1111/j.1524-4733.2009.00572.x","ISBN":"1524-4733","ISSN":"10983015","PMID":"19624617","abstract":"Pharmacoeconomic analyses typically project the expected cost-effectiveness of a new product for a specific indication. This analysis develops a dynamic life-cycle model to conduct a multi-indication evaluation using the case of trastuzumab licensed in the United States for both early-stage and metastatic (or late-stage) human epidermal growth factor receptor 2 (HER2)-positive breast cancer therapy (early breast cancer [EBC]; metastatic breast cancer [MBC]), approved in 2006 and 1998, respectively.","author":[{"dropping-particle":"","family":"Garrison","given":"Louis P.","non-dropping-particle":"","parse-names":false,"suffix":""},{"dropping-particle":"","family":"Veenstra","given":"David L.","non-dropping-particle":"","parse-names":false,"suffix":""}],"container-title":"Value in Health","id":"ITEM-1","issue":"8","issued":{"date-parts":[["2009"]]},"page":"1118-1123","publisher":"International Society for Pharmacoeconomics and Outcomes Research (ISPOR)","title":"The economic value of innovative treatments over the product life cycle: The case of targeted trastuzumab therapy for breast cancer","type":"article-journal","volume":"12"},"uris":["http://www.mendeley.com/documents/?uuid=1808187d-b95d-472a-af04-da9a2be243db"]},{"id":"ITEM-2","itemData":{"ISSN":"1936-2692","PMID":"23327456","abstract":"OBJECTIVE: To develop a methodology for computing cost-effectiveness measures of a drug throughout its life cycle. STUDY DESIGN: We developed a set of models that measure the long-term cost-effectiveness of 2 oncology drugs, paclitaxel and docetaxel, throughout their life cycles. METHODS: The study combined pricing history of the drugs, US Food and Drug Administration approval dates, drug utilization from Medicare claims, and clinical effectiveness information from phase III studies reported in the scientific literature. These data were used to estimate the incremental cost-effectiveness ratio (ICER) at the time of market entry and by year thereafter. The study population included patients with cancer who were treated with paclitaxel or docetaxel. RESULTS: The prices of paclitaxel and docetaxel dropped substantially due to patent expirations, while the number of users increased several fold because of subsequent empirical evidence and approval of new indications that resulted in greater efficacy. The ICER over a 10-year period was approximately 60% of the ICER at product launch for both drugs, and was further decreased when a longer-term perspective was taken. CONCLUSIONS: We demonstrated that the ICER of a drug can decrease substantially over its life cycle. Thus, cost-effectiveness at drug launch might be a poor indicator of the longterm value of the drug. The results of this study are based on the analysis of 2 prominent oncology drugs, paclitaxel and docetaxel. The results may not be generalizable to other drug classes or other oncology drugs for which new indications are less common.","author":[{"dropping-particle":"","family":"Lu","given":"Yang","non-dropping-particle":"","parse-names":false,"suffix":""},{"dropping-particle":"","family":"Penrod","given":"John R","non-dropping-particle":"","parse-names":false,"suffix":""},{"dropping-particle":"","family":"Sood","given":"Neeraj","non-dropping-particle":"","parse-names":false,"suffix":""},{"dropping-particle":"","family":"Woodby","given":"Saarah","non-dropping-particle":"","parse-names":false,"suffix":""},{"dropping-particle":"","family":"Philipson","given":"Tomas","non-dropping-particle":"","parse-names":false,"suffix":""}],"container-title":"The American journal of managed care","id":"ITEM-2","issue":"11 Suppl","issued":{"date-parts":[["2012","11"]]},"page":"S249-56","title":"Dynamic cost-effectiveness of oncology drugs.","type":"article-journal","volume":"18"},"uris":["http://www.mendeley.com/documents/?uuid=33c2c384-5ec8-46e1-810e-cdd24235a17f"]}],"mendeley":{"formattedCitation":"(20,22)","plainTextFormattedCitation":"(20,22)","previouslyFormattedCitation":"(20,22)"},"properties":{"noteIndex":0},"schema":"https://github.com/citation-style-language/schema/raw/master/csl-citation.json"}</w:instrText>
      </w:r>
      <w:r w:rsidR="009744AA"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(20,22)</w:t>
      </w:r>
      <w:r w:rsidR="009744AA" w:rsidRPr="006A4D4F">
        <w:rPr>
          <w:rFonts w:ascii="Roboto Light" w:hAnsi="Roboto Light" w:cs="Arial"/>
          <w:color w:val="202426"/>
          <w:sz w:val="21"/>
          <w:szCs w:val="21"/>
        </w:rPr>
        <w:fldChar w:fldCharType="end"/>
      </w:r>
      <w:r w:rsidRPr="006A4D4F">
        <w:rPr>
          <w:rFonts w:ascii="Roboto Light" w:hAnsi="Roboto Light" w:cs="Arial"/>
          <w:color w:val="202426"/>
          <w:sz w:val="21"/>
          <w:szCs w:val="21"/>
        </w:rPr>
        <w:t xml:space="preserve"> While this requires tracking usage by indication, it still results in a distorted price signal. For a drug that has two uses with very different therapeutic effects, a price based on the average will be too low for one and too high for the other. </w:t>
      </w:r>
    </w:p>
    <w:p w14:paraId="345A1F05" w14:textId="39337C13" w:rsidR="005626C5" w:rsidRPr="006A4D4F" w:rsidRDefault="005F589F" w:rsidP="00E14706">
      <w:pPr>
        <w:rPr>
          <w:rFonts w:ascii="Roboto Light" w:hAnsi="Roboto Light" w:cs="Arial"/>
          <w:color w:val="202426"/>
          <w:sz w:val="21"/>
          <w:szCs w:val="21"/>
        </w:rPr>
      </w:pPr>
      <w:r w:rsidRPr="006A4D4F">
        <w:rPr>
          <w:rFonts w:ascii="Roboto Light" w:hAnsi="Roboto Light" w:cs="Arial"/>
          <w:color w:val="202426"/>
          <w:sz w:val="21"/>
          <w:szCs w:val="21"/>
        </w:rPr>
        <w:t>The third, and probably most common</w:t>
      </w:r>
      <w:r w:rsidR="00043D7E" w:rsidRPr="006A4D4F">
        <w:rPr>
          <w:rFonts w:ascii="Roboto Light" w:hAnsi="Roboto Light" w:cs="Arial"/>
          <w:color w:val="202426"/>
          <w:sz w:val="21"/>
          <w:szCs w:val="21"/>
        </w:rPr>
        <w:t>,</w:t>
      </w:r>
      <w:r w:rsidRPr="006A4D4F">
        <w:rPr>
          <w:rFonts w:ascii="Roboto Light" w:hAnsi="Roboto Light" w:cs="Arial"/>
          <w:color w:val="202426"/>
          <w:sz w:val="21"/>
          <w:szCs w:val="21"/>
        </w:rPr>
        <w:t xml:space="preserve"> outcome is for the price to be set based on the first </w:t>
      </w:r>
      <w:r w:rsidR="005A2037" w:rsidRPr="006A4D4F">
        <w:rPr>
          <w:rFonts w:ascii="Roboto Light" w:hAnsi="Roboto Light" w:cs="Arial"/>
          <w:color w:val="202426"/>
          <w:sz w:val="21"/>
          <w:szCs w:val="21"/>
        </w:rPr>
        <w:t xml:space="preserve">approved </w:t>
      </w:r>
      <w:r w:rsidRPr="006A4D4F">
        <w:rPr>
          <w:rFonts w:ascii="Roboto Light" w:hAnsi="Roboto Light" w:cs="Arial"/>
          <w:color w:val="202426"/>
          <w:sz w:val="21"/>
          <w:szCs w:val="21"/>
        </w:rPr>
        <w:t xml:space="preserve">indication, and to remain at that level, even if subsequent indications have very different benefits. This </w:t>
      </w:r>
      <w:r w:rsidR="00043D7E" w:rsidRPr="006A4D4F">
        <w:rPr>
          <w:rFonts w:ascii="Roboto Light" w:hAnsi="Roboto Light" w:cs="Arial"/>
          <w:color w:val="202426"/>
          <w:sz w:val="21"/>
          <w:szCs w:val="21"/>
        </w:rPr>
        <w:t>creates incentives for firms to seek an orphan drug indication first, with a high price, and then to expand usage into other more common indications.</w:t>
      </w:r>
      <w:r w:rsidR="00043D7E"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{"citationItems":[{"id":"ITEM-1","itemData":{"DOI":"https://doi.org/10.1016/j.jval.2012.09.004","ISSN":"1098-3015","abstract":"ABSTRACT The effects of orphan drug policies raise serious concerns among payer organizations and lead to often-tragic disappointment for patients who are denied much anticipated drug reimbursements. We evaluate the effects of orphan drug policies on the basis of this concern for real accessibility to drugs. We highlight two unforeseen effects of orphan drug policies: 1) they provide unique business opportunities for manufacturers and 2) drugs approved through these policies are often inaccessible because of their high price. We identify six causes of this emergence of effects. The first four are the direct result of incentives included in orphan drug policies. The fifth cause is the “off-label” use of orphan drugs. These emergent effects have several implications: 1) they raise doubts about the equity of access to drugs, 2) they highlight the limitations of the cohort paradigm in medicine, and c) they force third-party payers to make drugs accessible even when the prices of drugs are believed to be disproportionate to the clinical effects obtained.","author":[{"dropping-particle":"","family":"Côté","given":"André","non-dropping-particle":"","parse-names":false,"suffix":""},{"dropping-particle":"","family":"Keating","given":"Bernard","non-dropping-particle":"","parse-names":false,"suffix":""}],"container-title":"Value in Health","id":"ITEM-1","issue":"8","issued":{"date-parts":[["2012"]]},"page":"1185-1191","title":"What Is Wrong with Orphan Drug Policies?","type":"article-journal","volume":"15"},"uris":["http://www.mendeley.com/documents/?uuid=3aa345ea-76f0-4c70-92c4-4901144f1bb4"]}],"mendeley":{"formattedCitation":"(23)","plainTextFormattedCitation":"(23)","previouslyFormattedCitation":"(23)"},"properties":{"noteIndex":0},"schema":"https://github.com/citation-style-language/schema/raw/master/csl-citation.json"}</w:instrText>
      </w:r>
      <w:r w:rsidR="00043D7E"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(23)</w:t>
      </w:r>
      <w:r w:rsidR="00043D7E" w:rsidRPr="006A4D4F">
        <w:rPr>
          <w:rFonts w:ascii="Roboto Light" w:hAnsi="Roboto Light" w:cs="Arial"/>
          <w:color w:val="202426"/>
          <w:sz w:val="21"/>
          <w:szCs w:val="21"/>
        </w:rPr>
        <w:fldChar w:fldCharType="end"/>
      </w:r>
    </w:p>
    <w:p w14:paraId="43ECD4AF" w14:textId="039D2C07" w:rsidR="00043D7E" w:rsidRPr="006A4D4F" w:rsidRDefault="00043D7E" w:rsidP="00E14706">
      <w:pPr>
        <w:rPr>
          <w:rFonts w:ascii="Roboto Light" w:hAnsi="Roboto Light" w:cs="Arial"/>
          <w:color w:val="202426"/>
          <w:sz w:val="21"/>
          <w:szCs w:val="21"/>
        </w:rPr>
      </w:pPr>
      <w:r w:rsidRPr="006A4D4F">
        <w:rPr>
          <w:rFonts w:ascii="Roboto Light" w:hAnsi="Roboto Light" w:cs="Arial"/>
          <w:color w:val="202426"/>
          <w:sz w:val="21"/>
          <w:szCs w:val="21"/>
        </w:rPr>
        <w:t xml:space="preserve">Unless the firm </w:t>
      </w:r>
      <w:proofErr w:type="gramStart"/>
      <w:r w:rsidRPr="006A4D4F">
        <w:rPr>
          <w:rFonts w:ascii="Roboto Light" w:hAnsi="Roboto Light" w:cs="Arial"/>
          <w:color w:val="202426"/>
          <w:sz w:val="21"/>
          <w:szCs w:val="21"/>
        </w:rPr>
        <w:t>is able to</w:t>
      </w:r>
      <w:proofErr w:type="gramEnd"/>
      <w:r w:rsidRPr="006A4D4F">
        <w:rPr>
          <w:rFonts w:ascii="Roboto Light" w:hAnsi="Roboto Light" w:cs="Arial"/>
          <w:color w:val="202426"/>
          <w:sz w:val="21"/>
          <w:szCs w:val="21"/>
        </w:rPr>
        <w:t xml:space="preserve"> segment the market effectively and to price discriminate effectively, prices will not reflect value (let alone marginal cost!) </w:t>
      </w:r>
      <w:r w:rsidR="00EE186F" w:rsidRPr="006A4D4F">
        <w:rPr>
          <w:rFonts w:ascii="Roboto Light" w:hAnsi="Roboto Light" w:cs="Arial"/>
          <w:color w:val="202426"/>
          <w:sz w:val="21"/>
          <w:szCs w:val="21"/>
        </w:rPr>
        <w:t>leading</w:t>
      </w:r>
      <w:r w:rsidRPr="006A4D4F">
        <w:rPr>
          <w:rFonts w:ascii="Roboto Light" w:hAnsi="Roboto Light" w:cs="Arial"/>
          <w:color w:val="202426"/>
          <w:sz w:val="21"/>
          <w:szCs w:val="21"/>
        </w:rPr>
        <w:t xml:space="preserve"> to inefficient outcomes. The firm will have every reason to promote the product </w:t>
      </w:r>
      <w:r w:rsidR="005A2037" w:rsidRPr="006A4D4F">
        <w:rPr>
          <w:rFonts w:ascii="Roboto Light" w:hAnsi="Roboto Light" w:cs="Arial"/>
          <w:color w:val="202426"/>
          <w:sz w:val="21"/>
          <w:szCs w:val="21"/>
        </w:rPr>
        <w:t>for</w:t>
      </w:r>
      <w:r w:rsidRPr="006A4D4F">
        <w:rPr>
          <w:rFonts w:ascii="Roboto Light" w:hAnsi="Roboto Light" w:cs="Arial"/>
          <w:color w:val="202426"/>
          <w:sz w:val="21"/>
          <w:szCs w:val="21"/>
        </w:rPr>
        <w:t xml:space="preserve"> a low-value use if it is paid for the high-value use. </w:t>
      </w:r>
      <w:proofErr w:type="spellStart"/>
      <w:r w:rsidR="005A2037" w:rsidRPr="006A4D4F">
        <w:rPr>
          <w:rFonts w:ascii="Roboto Light" w:hAnsi="Roboto Light" w:cs="Arial"/>
          <w:color w:val="202426"/>
          <w:sz w:val="21"/>
          <w:szCs w:val="21"/>
        </w:rPr>
        <w:t>Moreovoer</w:t>
      </w:r>
      <w:proofErr w:type="spellEnd"/>
      <w:r w:rsidR="005A2037" w:rsidRPr="006A4D4F">
        <w:rPr>
          <w:rFonts w:ascii="Roboto Light" w:hAnsi="Roboto Light" w:cs="Arial"/>
          <w:color w:val="202426"/>
          <w:sz w:val="21"/>
          <w:szCs w:val="21"/>
        </w:rPr>
        <w:t>, t</w:t>
      </w:r>
      <w:r w:rsidRPr="006A4D4F">
        <w:rPr>
          <w:rFonts w:ascii="Roboto Light" w:hAnsi="Roboto Light" w:cs="Arial"/>
          <w:color w:val="202426"/>
          <w:sz w:val="21"/>
          <w:szCs w:val="21"/>
        </w:rPr>
        <w:t xml:space="preserve">he uncertainty about the range of uses when multiple indications are possible will lead to challenges in setting an initial price. Negotiations around price may take a very long time as the insurer may fear that the product may be used chiefly in a low-value indication. </w:t>
      </w:r>
    </w:p>
    <w:p w14:paraId="10259E0E" w14:textId="1F0E200D" w:rsidR="00043D7E" w:rsidRPr="006A4D4F" w:rsidRDefault="00632213" w:rsidP="00E14706">
      <w:pPr>
        <w:rPr>
          <w:rFonts w:ascii="Roboto Light" w:hAnsi="Roboto Light" w:cs="Arial"/>
          <w:color w:val="202426"/>
          <w:sz w:val="21"/>
          <w:szCs w:val="21"/>
        </w:rPr>
      </w:pPr>
      <w:r w:rsidRPr="006A4D4F">
        <w:rPr>
          <w:rFonts w:ascii="Roboto Light" w:hAnsi="Roboto Light" w:cs="Arial"/>
          <w:color w:val="202426"/>
          <w:sz w:val="21"/>
          <w:szCs w:val="21"/>
        </w:rPr>
        <w:t>In addition, with</w:t>
      </w:r>
      <w:r w:rsidR="00043D7E" w:rsidRPr="006A4D4F">
        <w:rPr>
          <w:rFonts w:ascii="Roboto Light" w:hAnsi="Roboto Light" w:cs="Arial"/>
          <w:color w:val="202426"/>
          <w:sz w:val="21"/>
          <w:szCs w:val="21"/>
        </w:rPr>
        <w:t xml:space="preserve"> a single price, </w:t>
      </w:r>
      <w:r w:rsidRPr="006A4D4F">
        <w:rPr>
          <w:rFonts w:ascii="Roboto Light" w:hAnsi="Roboto Light" w:cs="Arial"/>
          <w:color w:val="202426"/>
          <w:sz w:val="21"/>
          <w:szCs w:val="21"/>
        </w:rPr>
        <w:t>the insurer is likely to impose</w:t>
      </w:r>
      <w:r w:rsidR="00043D7E" w:rsidRPr="006A4D4F">
        <w:rPr>
          <w:rFonts w:ascii="Roboto Light" w:hAnsi="Roboto Light" w:cs="Arial"/>
          <w:color w:val="202426"/>
          <w:sz w:val="21"/>
          <w:szCs w:val="21"/>
        </w:rPr>
        <w:t xml:space="preserve"> restrictions on using </w:t>
      </w:r>
      <w:r w:rsidRPr="006A4D4F">
        <w:rPr>
          <w:rFonts w:ascii="Roboto Light" w:hAnsi="Roboto Light" w:cs="Arial"/>
          <w:color w:val="202426"/>
          <w:sz w:val="21"/>
          <w:szCs w:val="21"/>
        </w:rPr>
        <w:t>the drug</w:t>
      </w:r>
      <w:r w:rsidR="00043D7E" w:rsidRPr="006A4D4F">
        <w:rPr>
          <w:rFonts w:ascii="Roboto Light" w:hAnsi="Roboto Light" w:cs="Arial"/>
          <w:color w:val="202426"/>
          <w:sz w:val="21"/>
          <w:szCs w:val="21"/>
        </w:rPr>
        <w:t xml:space="preserve"> in patients for whom the benefit is likely to be modest. We see this in the complex prescribing guidelines initially put in place in the UK for sofosbuvir, with patients with different hepatitis genotypes and treatment experience being treated differently, even though all would have benefited from </w:t>
      </w:r>
      <w:r w:rsidRPr="006A4D4F">
        <w:rPr>
          <w:rFonts w:ascii="Roboto Light" w:hAnsi="Roboto Light" w:cs="Arial"/>
          <w:color w:val="202426"/>
          <w:sz w:val="21"/>
          <w:szCs w:val="21"/>
        </w:rPr>
        <w:t>access to the drug</w:t>
      </w:r>
      <w:r w:rsidR="00043D7E" w:rsidRPr="006A4D4F">
        <w:rPr>
          <w:rFonts w:ascii="Roboto Light" w:hAnsi="Roboto Light" w:cs="Arial"/>
          <w:color w:val="202426"/>
          <w:sz w:val="21"/>
          <w:szCs w:val="21"/>
        </w:rPr>
        <w:t>.</w:t>
      </w:r>
      <w:r w:rsidRPr="006A4D4F">
        <w:rPr>
          <w:rFonts w:ascii="Roboto Light" w:hAnsi="Roboto Light" w:cs="Arial"/>
          <w:color w:val="202426"/>
          <w:sz w:val="21"/>
          <w:szCs w:val="21"/>
        </w:rPr>
        <w:t xml:space="preserve"> Those classes of patients with relatively low expected benefit were not treated in a timely way. </w:t>
      </w:r>
    </w:p>
    <w:p w14:paraId="7020CBA4" w14:textId="2ABCA901" w:rsidR="00F706EE" w:rsidRPr="006A4D4F" w:rsidRDefault="00703681" w:rsidP="00632213">
      <w:pPr>
        <w:rPr>
          <w:rFonts w:ascii="Roboto Light" w:hAnsi="Roboto Light" w:cs="Arial"/>
          <w:color w:val="202426"/>
          <w:sz w:val="21"/>
          <w:szCs w:val="21"/>
        </w:rPr>
      </w:pPr>
      <w:r w:rsidRPr="006A4D4F">
        <w:rPr>
          <w:rFonts w:ascii="Roboto Light" w:hAnsi="Roboto Light" w:cs="Arial"/>
          <w:color w:val="202426"/>
          <w:sz w:val="21"/>
          <w:szCs w:val="21"/>
          <w:u w:val="single"/>
        </w:rPr>
        <w:t xml:space="preserve">Problem 2. </w:t>
      </w:r>
      <w:r w:rsidR="00632213" w:rsidRPr="006A4D4F">
        <w:rPr>
          <w:rFonts w:ascii="Roboto Light" w:hAnsi="Roboto Light" w:cs="Arial"/>
          <w:color w:val="202426"/>
          <w:sz w:val="21"/>
          <w:szCs w:val="21"/>
        </w:rPr>
        <w:t xml:space="preserve">The second problem that arises because of multiple indications is that the incentives to invest in clinical trials for subsequent indications are distorted. As noted above, when there is a single price, insurers will tend to limit access to the drug to the patients with high-value indications. </w:t>
      </w:r>
      <w:r w:rsidR="00F706EE" w:rsidRPr="006A4D4F">
        <w:rPr>
          <w:rFonts w:ascii="Roboto Light" w:hAnsi="Roboto Light" w:cs="Arial"/>
          <w:color w:val="202426"/>
          <w:sz w:val="21"/>
          <w:szCs w:val="21"/>
        </w:rPr>
        <w:t xml:space="preserve">This outcome, however, has an </w:t>
      </w:r>
      <w:r w:rsidR="00632213" w:rsidRPr="006A4D4F">
        <w:rPr>
          <w:rFonts w:ascii="Roboto Light" w:hAnsi="Roboto Light" w:cs="Arial"/>
          <w:color w:val="202426"/>
          <w:sz w:val="21"/>
          <w:szCs w:val="21"/>
        </w:rPr>
        <w:t xml:space="preserve">impact on clinical trial design. </w:t>
      </w:r>
    </w:p>
    <w:p w14:paraId="2CE023F5" w14:textId="77777777" w:rsidR="005A2037" w:rsidRPr="006A4D4F" w:rsidRDefault="00F706EE" w:rsidP="00E14706">
      <w:pPr>
        <w:rPr>
          <w:rFonts w:ascii="Roboto Light" w:hAnsi="Roboto Light" w:cs="Arial"/>
          <w:color w:val="202426"/>
          <w:sz w:val="21"/>
          <w:szCs w:val="21"/>
        </w:rPr>
      </w:pPr>
      <w:r w:rsidRPr="006A4D4F">
        <w:rPr>
          <w:rFonts w:ascii="Roboto Light" w:hAnsi="Roboto Light" w:cs="Arial"/>
          <w:color w:val="202426"/>
          <w:sz w:val="21"/>
          <w:szCs w:val="21"/>
        </w:rPr>
        <w:t>Suppose an</w:t>
      </w:r>
      <w:r w:rsidR="00632213" w:rsidRPr="006A4D4F">
        <w:rPr>
          <w:rFonts w:ascii="Roboto Light" w:hAnsi="Roboto Light" w:cs="Arial"/>
          <w:color w:val="202426"/>
          <w:sz w:val="21"/>
          <w:szCs w:val="21"/>
        </w:rPr>
        <w:t xml:space="preserve"> innovator recognize</w:t>
      </w:r>
      <w:r w:rsidRPr="006A4D4F">
        <w:rPr>
          <w:rFonts w:ascii="Roboto Light" w:hAnsi="Roboto Light" w:cs="Arial"/>
          <w:color w:val="202426"/>
          <w:sz w:val="21"/>
          <w:szCs w:val="21"/>
        </w:rPr>
        <w:t>s</w:t>
      </w:r>
      <w:r w:rsidR="00632213" w:rsidRPr="006A4D4F">
        <w:rPr>
          <w:rFonts w:ascii="Roboto Light" w:hAnsi="Roboto Light" w:cs="Arial"/>
          <w:color w:val="202426"/>
          <w:sz w:val="21"/>
          <w:szCs w:val="21"/>
        </w:rPr>
        <w:t xml:space="preserve"> two patient groups that would benefit from treatment (high and low). Suppose that the monetary </w:t>
      </w:r>
      <w:r w:rsidR="00EE6BCE" w:rsidRPr="006A4D4F">
        <w:rPr>
          <w:rFonts w:ascii="Roboto Light" w:hAnsi="Roboto Light" w:cs="Arial"/>
          <w:color w:val="202426"/>
          <w:sz w:val="21"/>
          <w:szCs w:val="21"/>
        </w:rPr>
        <w:t>“</w:t>
      </w:r>
      <w:r w:rsidR="00632213" w:rsidRPr="006A4D4F">
        <w:rPr>
          <w:rFonts w:ascii="Roboto Light" w:hAnsi="Roboto Light" w:cs="Arial"/>
          <w:color w:val="202426"/>
          <w:sz w:val="21"/>
          <w:szCs w:val="21"/>
        </w:rPr>
        <w:t>value</w:t>
      </w:r>
      <w:r w:rsidR="00EE6BCE" w:rsidRPr="006A4D4F">
        <w:rPr>
          <w:rFonts w:ascii="Roboto Light" w:hAnsi="Roboto Light" w:cs="Arial"/>
          <w:color w:val="202426"/>
          <w:sz w:val="21"/>
          <w:szCs w:val="21"/>
        </w:rPr>
        <w:t>”</w:t>
      </w:r>
      <w:r w:rsidR="00632213" w:rsidRPr="006A4D4F">
        <w:rPr>
          <w:rFonts w:ascii="Roboto Light" w:hAnsi="Roboto Light" w:cs="Arial"/>
          <w:color w:val="202426"/>
          <w:sz w:val="21"/>
          <w:szCs w:val="21"/>
        </w:rPr>
        <w:t xml:space="preserve"> of therapy in the high and low groups is respectively $10 and $4, and there are 100 patients in each. </w:t>
      </w:r>
      <w:r w:rsidR="00EE6BCE" w:rsidRPr="006A4D4F">
        <w:rPr>
          <w:rFonts w:ascii="Roboto Light" w:hAnsi="Roboto Light" w:cs="Arial"/>
          <w:color w:val="202426"/>
          <w:sz w:val="21"/>
          <w:szCs w:val="21"/>
        </w:rPr>
        <w:t xml:space="preserve">Suppose further that production costs per unit are $1 and the cost of running a clinical trial in each group is $100. </w:t>
      </w:r>
      <w:r w:rsidR="00632213" w:rsidRPr="006A4D4F">
        <w:rPr>
          <w:rFonts w:ascii="Roboto Light" w:hAnsi="Roboto Light" w:cs="Arial"/>
          <w:color w:val="202426"/>
          <w:sz w:val="21"/>
          <w:szCs w:val="21"/>
        </w:rPr>
        <w:t xml:space="preserve">If the innovator targets the high group only, it can price the product at $10 and earn </w:t>
      </w:r>
      <w:r w:rsidR="00EE6BCE" w:rsidRPr="006A4D4F">
        <w:rPr>
          <w:rFonts w:ascii="Roboto Light" w:hAnsi="Roboto Light" w:cs="Arial"/>
          <w:color w:val="202426"/>
          <w:sz w:val="21"/>
          <w:szCs w:val="21"/>
        </w:rPr>
        <w:t xml:space="preserve">profits of </w:t>
      </w:r>
      <w:r w:rsidR="00632213" w:rsidRPr="006A4D4F">
        <w:rPr>
          <w:rFonts w:ascii="Roboto Light" w:hAnsi="Roboto Light" w:cs="Arial"/>
          <w:color w:val="202426"/>
          <w:sz w:val="21"/>
          <w:szCs w:val="21"/>
        </w:rPr>
        <w:t>$</w:t>
      </w:r>
      <w:r w:rsidR="00EE6BCE" w:rsidRPr="006A4D4F">
        <w:rPr>
          <w:rFonts w:ascii="Roboto Light" w:hAnsi="Roboto Light" w:cs="Arial"/>
          <w:color w:val="202426"/>
          <w:sz w:val="21"/>
          <w:szCs w:val="21"/>
        </w:rPr>
        <w:t>8</w:t>
      </w:r>
      <w:r w:rsidR="00632213" w:rsidRPr="006A4D4F">
        <w:rPr>
          <w:rFonts w:ascii="Roboto Light" w:hAnsi="Roboto Light" w:cs="Arial"/>
          <w:color w:val="202426"/>
          <w:sz w:val="21"/>
          <w:szCs w:val="21"/>
        </w:rPr>
        <w:t>00. If the innovator targets the average benefit</w:t>
      </w:r>
      <w:r w:rsidRPr="006A4D4F">
        <w:rPr>
          <w:rFonts w:ascii="Roboto Light" w:hAnsi="Roboto Light" w:cs="Arial"/>
          <w:color w:val="202426"/>
          <w:sz w:val="21"/>
          <w:szCs w:val="21"/>
        </w:rPr>
        <w:t xml:space="preserve"> (which was the economic model used by Gilead for sofosbuvir)</w:t>
      </w:r>
      <w:r w:rsidR="00632213" w:rsidRPr="006A4D4F">
        <w:rPr>
          <w:rFonts w:ascii="Roboto Light" w:hAnsi="Roboto Light" w:cs="Arial"/>
          <w:color w:val="202426"/>
          <w:sz w:val="21"/>
          <w:szCs w:val="21"/>
        </w:rPr>
        <w:t>, pricing the product at $</w:t>
      </w:r>
      <w:r w:rsidRPr="006A4D4F">
        <w:rPr>
          <w:rFonts w:ascii="Roboto Light" w:hAnsi="Roboto Light" w:cs="Arial"/>
          <w:color w:val="202426"/>
          <w:sz w:val="21"/>
          <w:szCs w:val="21"/>
        </w:rPr>
        <w:t>7</w:t>
      </w:r>
      <w:r w:rsidR="00632213" w:rsidRPr="006A4D4F">
        <w:rPr>
          <w:rFonts w:ascii="Roboto Light" w:hAnsi="Roboto Light" w:cs="Arial"/>
          <w:color w:val="202426"/>
          <w:sz w:val="21"/>
          <w:szCs w:val="21"/>
        </w:rPr>
        <w:t xml:space="preserve">, the insurer </w:t>
      </w:r>
      <w:r w:rsidRPr="006A4D4F">
        <w:rPr>
          <w:rFonts w:ascii="Roboto Light" w:hAnsi="Roboto Light" w:cs="Arial"/>
          <w:color w:val="202426"/>
          <w:sz w:val="21"/>
          <w:szCs w:val="21"/>
        </w:rPr>
        <w:t>may</w:t>
      </w:r>
      <w:r w:rsidR="00632213" w:rsidRPr="006A4D4F">
        <w:rPr>
          <w:rFonts w:ascii="Roboto Light" w:hAnsi="Roboto Light" w:cs="Arial"/>
          <w:color w:val="202426"/>
          <w:sz w:val="21"/>
          <w:szCs w:val="21"/>
        </w:rPr>
        <w:t xml:space="preserve"> </w:t>
      </w:r>
      <w:r w:rsidRPr="006A4D4F">
        <w:rPr>
          <w:rFonts w:ascii="Roboto Light" w:hAnsi="Roboto Light" w:cs="Arial"/>
          <w:color w:val="202426"/>
          <w:sz w:val="21"/>
          <w:szCs w:val="21"/>
        </w:rPr>
        <w:t xml:space="preserve">still </w:t>
      </w:r>
      <w:r w:rsidR="00632213" w:rsidRPr="006A4D4F">
        <w:rPr>
          <w:rFonts w:ascii="Roboto Light" w:hAnsi="Roboto Light" w:cs="Arial"/>
          <w:color w:val="202426"/>
          <w:sz w:val="21"/>
          <w:szCs w:val="21"/>
        </w:rPr>
        <w:t>approve the product only to treat the high group</w:t>
      </w:r>
      <w:r w:rsidR="00EE6BCE" w:rsidRPr="006A4D4F">
        <w:rPr>
          <w:rFonts w:ascii="Roboto Light" w:hAnsi="Roboto Light" w:cs="Arial"/>
          <w:color w:val="202426"/>
          <w:sz w:val="21"/>
          <w:szCs w:val="21"/>
        </w:rPr>
        <w:t xml:space="preserve"> (since the benefit per patient in the low group is less than the price)</w:t>
      </w:r>
      <w:r w:rsidR="00632213" w:rsidRPr="006A4D4F">
        <w:rPr>
          <w:rFonts w:ascii="Roboto Light" w:hAnsi="Roboto Light" w:cs="Arial"/>
          <w:color w:val="202426"/>
          <w:sz w:val="21"/>
          <w:szCs w:val="21"/>
        </w:rPr>
        <w:t xml:space="preserve">, resulting in </w:t>
      </w:r>
      <w:r w:rsidR="00EE6BCE" w:rsidRPr="006A4D4F">
        <w:rPr>
          <w:rFonts w:ascii="Roboto Light" w:hAnsi="Roboto Light" w:cs="Arial"/>
          <w:color w:val="202426"/>
          <w:sz w:val="21"/>
          <w:szCs w:val="21"/>
        </w:rPr>
        <w:t xml:space="preserve">profits </w:t>
      </w:r>
      <w:r w:rsidR="00632213" w:rsidRPr="006A4D4F">
        <w:rPr>
          <w:rFonts w:ascii="Roboto Light" w:hAnsi="Roboto Light" w:cs="Arial"/>
          <w:color w:val="202426"/>
          <w:sz w:val="21"/>
          <w:szCs w:val="21"/>
        </w:rPr>
        <w:t>of $</w:t>
      </w:r>
      <w:r w:rsidR="00EE6BCE" w:rsidRPr="006A4D4F">
        <w:rPr>
          <w:rFonts w:ascii="Roboto Light" w:hAnsi="Roboto Light" w:cs="Arial"/>
          <w:color w:val="202426"/>
          <w:sz w:val="21"/>
          <w:szCs w:val="21"/>
        </w:rPr>
        <w:t>5</w:t>
      </w:r>
      <w:r w:rsidR="00632213" w:rsidRPr="006A4D4F">
        <w:rPr>
          <w:rFonts w:ascii="Roboto Light" w:hAnsi="Roboto Light" w:cs="Arial"/>
          <w:color w:val="202426"/>
          <w:sz w:val="21"/>
          <w:szCs w:val="21"/>
        </w:rPr>
        <w:t>0</w:t>
      </w:r>
      <w:r w:rsidR="00EE6BCE" w:rsidRPr="006A4D4F">
        <w:rPr>
          <w:rFonts w:ascii="Roboto Light" w:hAnsi="Roboto Light" w:cs="Arial"/>
          <w:color w:val="202426"/>
          <w:sz w:val="21"/>
          <w:szCs w:val="21"/>
        </w:rPr>
        <w:t>0</w:t>
      </w:r>
      <w:r w:rsidR="00632213" w:rsidRPr="006A4D4F">
        <w:rPr>
          <w:rFonts w:ascii="Roboto Light" w:hAnsi="Roboto Light" w:cs="Arial"/>
          <w:color w:val="202426"/>
          <w:sz w:val="21"/>
          <w:szCs w:val="21"/>
        </w:rPr>
        <w:t xml:space="preserve">. </w:t>
      </w:r>
      <w:r w:rsidRPr="006A4D4F">
        <w:rPr>
          <w:rFonts w:ascii="Roboto Light" w:hAnsi="Roboto Light" w:cs="Arial"/>
          <w:color w:val="202426"/>
          <w:sz w:val="21"/>
          <w:szCs w:val="21"/>
        </w:rPr>
        <w:t>To</w:t>
      </w:r>
      <w:r w:rsidR="00632213" w:rsidRPr="006A4D4F">
        <w:rPr>
          <w:rFonts w:ascii="Roboto Light" w:hAnsi="Roboto Light" w:cs="Arial"/>
          <w:color w:val="202426"/>
          <w:sz w:val="21"/>
          <w:szCs w:val="21"/>
        </w:rPr>
        <w:t xml:space="preserve"> include the low group, the product must be priced at only $4, resulting in </w:t>
      </w:r>
      <w:r w:rsidR="00EE6BCE" w:rsidRPr="006A4D4F">
        <w:rPr>
          <w:rFonts w:ascii="Roboto Light" w:hAnsi="Roboto Light" w:cs="Arial"/>
          <w:color w:val="202426"/>
          <w:sz w:val="21"/>
          <w:szCs w:val="21"/>
        </w:rPr>
        <w:t>profits</w:t>
      </w:r>
      <w:r w:rsidR="00632213" w:rsidRPr="006A4D4F">
        <w:rPr>
          <w:rFonts w:ascii="Roboto Light" w:hAnsi="Roboto Light" w:cs="Arial"/>
          <w:color w:val="202426"/>
          <w:sz w:val="21"/>
          <w:szCs w:val="21"/>
        </w:rPr>
        <w:t xml:space="preserve"> of $</w:t>
      </w:r>
      <w:r w:rsidR="00EE6BCE" w:rsidRPr="006A4D4F">
        <w:rPr>
          <w:rFonts w:ascii="Roboto Light" w:hAnsi="Roboto Light" w:cs="Arial"/>
          <w:color w:val="202426"/>
          <w:sz w:val="21"/>
          <w:szCs w:val="21"/>
        </w:rPr>
        <w:t>4</w:t>
      </w:r>
      <w:r w:rsidR="00632213" w:rsidRPr="006A4D4F">
        <w:rPr>
          <w:rFonts w:ascii="Roboto Light" w:hAnsi="Roboto Light" w:cs="Arial"/>
          <w:color w:val="202426"/>
          <w:sz w:val="21"/>
          <w:szCs w:val="21"/>
        </w:rPr>
        <w:t xml:space="preserve">00. </w:t>
      </w:r>
    </w:p>
    <w:p w14:paraId="2D1D8C14" w14:textId="5C902332" w:rsidR="00632213" w:rsidRPr="006A4D4F" w:rsidRDefault="00632213" w:rsidP="00E14706">
      <w:pPr>
        <w:rPr>
          <w:rFonts w:ascii="Roboto Light" w:hAnsi="Roboto Light" w:cs="Arial"/>
          <w:color w:val="202426"/>
          <w:sz w:val="21"/>
          <w:szCs w:val="21"/>
        </w:rPr>
      </w:pPr>
      <w:r w:rsidRPr="006A4D4F">
        <w:rPr>
          <w:rFonts w:ascii="Roboto Light" w:hAnsi="Roboto Light" w:cs="Arial"/>
          <w:color w:val="202426"/>
          <w:sz w:val="21"/>
          <w:szCs w:val="21"/>
        </w:rPr>
        <w:lastRenderedPageBreak/>
        <w:t xml:space="preserve">In this situation, the </w:t>
      </w:r>
      <w:r w:rsidR="005A2037" w:rsidRPr="006A4D4F">
        <w:rPr>
          <w:rFonts w:ascii="Roboto Light" w:hAnsi="Roboto Light" w:cs="Arial"/>
          <w:color w:val="202426"/>
          <w:sz w:val="21"/>
          <w:szCs w:val="21"/>
        </w:rPr>
        <w:t xml:space="preserve">innovator’s </w:t>
      </w:r>
      <w:r w:rsidRPr="006A4D4F">
        <w:rPr>
          <w:rFonts w:ascii="Roboto Light" w:hAnsi="Roboto Light" w:cs="Arial"/>
          <w:color w:val="202426"/>
          <w:sz w:val="21"/>
          <w:szCs w:val="21"/>
        </w:rPr>
        <w:t xml:space="preserve">optimal strategy is </w:t>
      </w:r>
      <w:r w:rsidR="005A2037" w:rsidRPr="006A4D4F">
        <w:rPr>
          <w:rFonts w:ascii="Roboto Light" w:hAnsi="Roboto Light" w:cs="Arial"/>
          <w:color w:val="202426"/>
          <w:sz w:val="21"/>
          <w:szCs w:val="21"/>
        </w:rPr>
        <w:t xml:space="preserve">to </w:t>
      </w:r>
      <w:r w:rsidRPr="006A4D4F">
        <w:rPr>
          <w:rFonts w:ascii="Roboto Light" w:hAnsi="Roboto Light" w:cs="Arial"/>
          <w:color w:val="202426"/>
          <w:sz w:val="21"/>
          <w:szCs w:val="21"/>
        </w:rPr>
        <w:t xml:space="preserve">not even run a clinical trial for the low group, and hope that clinicians sometimes prescribe off-label to include them. </w:t>
      </w:r>
      <w:r w:rsidR="00F706EE" w:rsidRPr="006A4D4F">
        <w:rPr>
          <w:rFonts w:ascii="Roboto Light" w:hAnsi="Roboto Light" w:cs="Arial"/>
          <w:color w:val="202426"/>
          <w:sz w:val="21"/>
          <w:szCs w:val="21"/>
        </w:rPr>
        <w:t xml:space="preserve">This results in inefficiently low investment in clinical trials, as firms will </w:t>
      </w:r>
      <w:r w:rsidR="00EE6BCE" w:rsidRPr="006A4D4F">
        <w:rPr>
          <w:rFonts w:ascii="Roboto Light" w:hAnsi="Roboto Light" w:cs="Arial"/>
          <w:color w:val="202426"/>
          <w:sz w:val="21"/>
          <w:szCs w:val="21"/>
        </w:rPr>
        <w:t xml:space="preserve">find it more profitable to design trials that support use of the product only in high-value indications. If the firm could effectively price discriminate, the value of the product in the low-value group would be much higher than the costs of developing and supplying a product; but with a single price shared across both groups, supplying the low-value group </w:t>
      </w:r>
      <w:r w:rsidR="005A2037" w:rsidRPr="006A4D4F">
        <w:rPr>
          <w:rFonts w:ascii="Roboto Light" w:hAnsi="Roboto Light" w:cs="Arial"/>
          <w:color w:val="202426"/>
          <w:sz w:val="21"/>
          <w:szCs w:val="21"/>
        </w:rPr>
        <w:t>reduces profits compared to targeting only the high-value group</w:t>
      </w:r>
      <w:r w:rsidR="00EE6BCE" w:rsidRPr="006A4D4F">
        <w:rPr>
          <w:rFonts w:ascii="Roboto Light" w:hAnsi="Roboto Light" w:cs="Arial"/>
          <w:color w:val="202426"/>
          <w:sz w:val="21"/>
          <w:szCs w:val="21"/>
        </w:rPr>
        <w:t xml:space="preserve">. </w:t>
      </w:r>
    </w:p>
    <w:p w14:paraId="2DB461D9" w14:textId="5ACD71DE" w:rsidR="00AB4A96" w:rsidRPr="006A4D4F" w:rsidRDefault="00EE6BCE" w:rsidP="00E14706">
      <w:pPr>
        <w:rPr>
          <w:rFonts w:ascii="Roboto Light" w:hAnsi="Roboto Light" w:cs="Arial"/>
          <w:color w:val="202426"/>
          <w:sz w:val="21"/>
          <w:szCs w:val="21"/>
        </w:rPr>
      </w:pPr>
      <w:r w:rsidRPr="006A4D4F">
        <w:rPr>
          <w:rFonts w:ascii="Roboto Light" w:hAnsi="Roboto Light" w:cs="Arial"/>
          <w:color w:val="202426"/>
          <w:sz w:val="21"/>
          <w:szCs w:val="21"/>
        </w:rPr>
        <w:t xml:space="preserve">Unfortunately, this problem extends quite broadly, </w:t>
      </w:r>
      <w:r w:rsidR="00AB4A96" w:rsidRPr="006A4D4F">
        <w:rPr>
          <w:rFonts w:ascii="Roboto Light" w:hAnsi="Roboto Light" w:cs="Arial"/>
          <w:color w:val="202426"/>
          <w:sz w:val="21"/>
          <w:szCs w:val="21"/>
        </w:rPr>
        <w:t xml:space="preserve">since it is very common for there to be a range of benefits obtained by patients, even within a single indication. Including low-value patients within the clinical trial will tend not only to weaken the case for market authorization but will reduce the price that the product can command if approved. </w:t>
      </w:r>
      <w:r w:rsidR="00703681" w:rsidRPr="006A4D4F">
        <w:rPr>
          <w:rFonts w:ascii="Roboto Light" w:hAnsi="Roboto Light" w:cs="Arial"/>
          <w:color w:val="202426"/>
          <w:sz w:val="21"/>
          <w:szCs w:val="21"/>
        </w:rPr>
        <w:t>In general, that leads to a bias towards fewer trials for lower-value indications and types of patients.</w:t>
      </w:r>
    </w:p>
    <w:p w14:paraId="77AF2A35" w14:textId="578F4C28" w:rsidR="00703681" w:rsidRPr="006A4D4F" w:rsidRDefault="00703681" w:rsidP="00703681">
      <w:pPr>
        <w:rPr>
          <w:rFonts w:ascii="Roboto Light" w:hAnsi="Roboto Light" w:cs="Arial"/>
          <w:color w:val="202426"/>
          <w:sz w:val="21"/>
          <w:szCs w:val="21"/>
        </w:rPr>
      </w:pPr>
      <w:r w:rsidRPr="006A4D4F">
        <w:rPr>
          <w:rFonts w:ascii="Roboto Light" w:hAnsi="Roboto Light" w:cs="Arial"/>
          <w:color w:val="202426"/>
          <w:sz w:val="21"/>
          <w:szCs w:val="21"/>
          <w:u w:val="single"/>
        </w:rPr>
        <w:t>Problem 3.</w:t>
      </w:r>
      <w:r w:rsidRPr="006A4D4F">
        <w:rPr>
          <w:rFonts w:ascii="Roboto Light" w:hAnsi="Roboto Light" w:cs="Arial"/>
          <w:color w:val="202426"/>
          <w:sz w:val="21"/>
          <w:szCs w:val="21"/>
        </w:rPr>
        <w:t xml:space="preserve"> The current pricing model has led to a failure to invest in clinical trials on new indications once generic entry is imminent. </w:t>
      </w:r>
      <w:r w:rsidR="009F3FB1" w:rsidRPr="006A4D4F">
        <w:rPr>
          <w:rFonts w:ascii="Roboto Light" w:hAnsi="Roboto Light" w:cs="Arial"/>
          <w:color w:val="202426"/>
          <w:sz w:val="21"/>
          <w:szCs w:val="21"/>
        </w:rPr>
        <w:t>In the</w:t>
      </w:r>
      <w:r w:rsidRPr="006A4D4F">
        <w:rPr>
          <w:rFonts w:ascii="Roboto Light" w:hAnsi="Roboto Light" w:cs="Arial"/>
          <w:color w:val="202426"/>
          <w:sz w:val="21"/>
          <w:szCs w:val="21"/>
        </w:rPr>
        <w:t xml:space="preserve"> US</w:t>
      </w:r>
      <w:r w:rsidR="009F3FB1" w:rsidRPr="006A4D4F">
        <w:rPr>
          <w:rFonts w:ascii="Roboto Light" w:hAnsi="Roboto Light" w:cs="Arial"/>
          <w:color w:val="202426"/>
          <w:sz w:val="21"/>
          <w:szCs w:val="21"/>
        </w:rPr>
        <w:t xml:space="preserve">, </w:t>
      </w:r>
      <w:r w:rsidRPr="006A4D4F">
        <w:rPr>
          <w:rFonts w:ascii="Roboto Light" w:hAnsi="Roboto Light" w:cs="Arial"/>
          <w:color w:val="202426"/>
          <w:sz w:val="21"/>
          <w:szCs w:val="21"/>
        </w:rPr>
        <w:t>as the threat of generic entry approaches, the number of new secondary indications for a medicine tends to decline</w:t>
      </w:r>
      <w:r w:rsidR="002775B9" w:rsidRPr="006A4D4F">
        <w:rPr>
          <w:rFonts w:ascii="Roboto Light" w:hAnsi="Roboto Light" w:cs="Arial"/>
          <w:color w:val="202426"/>
          <w:sz w:val="21"/>
          <w:szCs w:val="21"/>
        </w:rPr>
        <w:t xml:space="preserve"> substantially</w:t>
      </w:r>
      <w:r w:rsidRPr="006A4D4F">
        <w:rPr>
          <w:rFonts w:ascii="Roboto Light" w:hAnsi="Roboto Light" w:cs="Arial"/>
          <w:color w:val="202426"/>
          <w:sz w:val="21"/>
          <w:szCs w:val="21"/>
        </w:rPr>
        <w:t>.</w:t>
      </w:r>
      <w:r w:rsidR="009F3FB1"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{"citationItems":[{"id":"ITEM-1","itemData":{"author":[{"dropping-particle":"","family":"Sahragardjoonegani","given":"Babak","non-dropping-particle":"","parse-names":false,"suffix":""},{"dropping-particle":"","family":"Beall","given":"Reed F","non-dropping-particle":"","parse-names":false,"suffix":""},{"dropping-particle":"","family":"Kesselheim","given":"Aaron S","non-dropping-particle":"","parse-names":false,"suffix":""},{"dropping-particle":"","family":"Hollis","given":"Aidan","non-dropping-particle":"","parse-names":false,"suffix":""}],"container-title":"Journal of pharmaceutical policy and practice","id":"ITEM-1","issue":"1","issued":{"date-parts":[["2021"]]},"page":"1-8","publisher":"BioMed Central","title":"Repurposing existing drugs for new uses: a cohort study of the frequency of FDA-granted new indication exclusivities since 1997","type":"article-journal","volume":"14"},"uris":["http://www.mendeley.com/documents/?uuid=a6060b94-a4b5-4380-9bd5-1f8eb951bbae"]}],"mendeley":{"formattedCitation":"(24)","plainTextFormattedCitation":"(24)","previouslyFormattedCitation":"(24)"},"properties":{"noteIndex":0},"schema":"https://github.com/citation-style-language/schema/raw/master/csl-citation.json"}</w:instrText>
      </w:r>
      <w:r w:rsidR="009F3FB1"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(24)</w:t>
      </w:r>
      <w:r w:rsidR="009F3FB1" w:rsidRPr="006A4D4F">
        <w:rPr>
          <w:rFonts w:ascii="Roboto Light" w:hAnsi="Roboto Light" w:cs="Arial"/>
          <w:color w:val="202426"/>
          <w:sz w:val="21"/>
          <w:szCs w:val="21"/>
        </w:rPr>
        <w:fldChar w:fldCharType="end"/>
      </w:r>
      <w:r w:rsidRPr="006A4D4F">
        <w:rPr>
          <w:rFonts w:ascii="Roboto Light" w:hAnsi="Roboto Light" w:cs="Arial"/>
          <w:color w:val="202426"/>
          <w:sz w:val="21"/>
          <w:szCs w:val="21"/>
        </w:rPr>
        <w:t xml:space="preserve"> It is not hard to see why: the reward for performing clinical trials for a new indication is impaired because of the difficulty of benefiting from exclusivity. This has led to the evidently inefficient solution in the EU, in which a firm can win an extra year of regulatory data protection for all uses of a drug if the holder of the market authori</w:t>
      </w:r>
      <w:r w:rsidR="00EE186F" w:rsidRPr="006A4D4F">
        <w:rPr>
          <w:rFonts w:ascii="Roboto Light" w:hAnsi="Roboto Light" w:cs="Arial"/>
          <w:color w:val="202426"/>
          <w:sz w:val="21"/>
          <w:szCs w:val="21"/>
        </w:rPr>
        <w:t>s</w:t>
      </w:r>
      <w:r w:rsidRPr="006A4D4F">
        <w:rPr>
          <w:rFonts w:ascii="Roboto Light" w:hAnsi="Roboto Light" w:cs="Arial"/>
          <w:color w:val="202426"/>
          <w:sz w:val="21"/>
          <w:szCs w:val="21"/>
        </w:rPr>
        <w:t xml:space="preserve">ation can obtain an authorisation for one or more new therapeutic indications which bring a significant clinical benefit in comparison with existing therapies. That solution is inefficient because the size of the benefit (an extra year of marketing protection for all uses of the drug) is not </w:t>
      </w:r>
      <w:r w:rsidR="00EE186F" w:rsidRPr="006A4D4F">
        <w:rPr>
          <w:rFonts w:ascii="Roboto Light" w:hAnsi="Roboto Light" w:cs="Arial"/>
          <w:color w:val="202426"/>
          <w:sz w:val="21"/>
          <w:szCs w:val="21"/>
        </w:rPr>
        <w:t>proportional</w:t>
      </w:r>
      <w:r w:rsidRPr="006A4D4F">
        <w:rPr>
          <w:rFonts w:ascii="Roboto Light" w:hAnsi="Roboto Light" w:cs="Arial"/>
          <w:color w:val="202426"/>
          <w:sz w:val="21"/>
          <w:szCs w:val="21"/>
        </w:rPr>
        <w:t xml:space="preserve"> to the value of the new indication. </w:t>
      </w:r>
      <w:r w:rsidR="002775B9" w:rsidRPr="006A4D4F">
        <w:rPr>
          <w:rFonts w:ascii="Roboto Light" w:hAnsi="Roboto Light" w:cs="Arial"/>
          <w:color w:val="202426"/>
          <w:sz w:val="21"/>
          <w:szCs w:val="21"/>
        </w:rPr>
        <w:t xml:space="preserve">Moreover, </w:t>
      </w:r>
      <w:r w:rsidR="00F72DC4" w:rsidRPr="006A4D4F">
        <w:rPr>
          <w:rFonts w:ascii="Roboto Light" w:hAnsi="Roboto Light" w:cs="Arial"/>
          <w:color w:val="202426"/>
          <w:sz w:val="21"/>
          <w:szCs w:val="21"/>
        </w:rPr>
        <w:t xml:space="preserve">to earn this extra year of protection, </w:t>
      </w:r>
      <w:r w:rsidR="002775B9" w:rsidRPr="006A4D4F">
        <w:rPr>
          <w:rFonts w:ascii="Roboto Light" w:hAnsi="Roboto Light" w:cs="Arial"/>
          <w:color w:val="202426"/>
          <w:sz w:val="21"/>
          <w:szCs w:val="21"/>
        </w:rPr>
        <w:t xml:space="preserve">the new indication </w:t>
      </w:r>
      <w:r w:rsidR="00F72DC4" w:rsidRPr="006A4D4F">
        <w:rPr>
          <w:rFonts w:ascii="Roboto Light" w:hAnsi="Roboto Light" w:cs="Arial"/>
          <w:color w:val="202426"/>
          <w:sz w:val="21"/>
          <w:szCs w:val="21"/>
        </w:rPr>
        <w:t>must</w:t>
      </w:r>
      <w:r w:rsidR="002775B9" w:rsidRPr="006A4D4F">
        <w:rPr>
          <w:rFonts w:ascii="Roboto Light" w:hAnsi="Roboto Light" w:cs="Arial"/>
          <w:color w:val="202426"/>
          <w:sz w:val="21"/>
          <w:szCs w:val="21"/>
        </w:rPr>
        <w:t xml:space="preserve"> be added to the label within eight years after the product’s approval, </w:t>
      </w:r>
      <w:r w:rsidR="00F72DC4" w:rsidRPr="006A4D4F">
        <w:rPr>
          <w:rFonts w:ascii="Roboto Light" w:hAnsi="Roboto Light" w:cs="Arial"/>
          <w:color w:val="202426"/>
          <w:sz w:val="21"/>
          <w:szCs w:val="21"/>
        </w:rPr>
        <w:t>and</w:t>
      </w:r>
      <w:r w:rsidR="002775B9" w:rsidRPr="006A4D4F">
        <w:rPr>
          <w:rFonts w:ascii="Roboto Light" w:hAnsi="Roboto Light" w:cs="Arial"/>
          <w:color w:val="202426"/>
          <w:sz w:val="21"/>
          <w:szCs w:val="21"/>
        </w:rPr>
        <w:t xml:space="preserve"> there is no reward at all for a new indication following that.</w:t>
      </w:r>
    </w:p>
    <w:p w14:paraId="0CCD21A4" w14:textId="77777777" w:rsidR="008B4B63" w:rsidRPr="006A4D4F" w:rsidRDefault="00703681" w:rsidP="00E14706">
      <w:pPr>
        <w:rPr>
          <w:rFonts w:ascii="Roboto Light" w:hAnsi="Roboto Light" w:cs="Arial"/>
          <w:color w:val="202426"/>
          <w:sz w:val="21"/>
          <w:szCs w:val="21"/>
        </w:rPr>
      </w:pPr>
      <w:r w:rsidRPr="006A4D4F">
        <w:rPr>
          <w:rFonts w:ascii="Roboto Light" w:hAnsi="Roboto Light" w:cs="Arial"/>
          <w:color w:val="202426"/>
          <w:sz w:val="21"/>
          <w:szCs w:val="21"/>
          <w:u w:val="single"/>
        </w:rPr>
        <w:t>ODRS as a solution.</w:t>
      </w:r>
      <w:r w:rsidRPr="006A4D4F">
        <w:rPr>
          <w:rFonts w:ascii="Roboto Light" w:hAnsi="Roboto Light" w:cs="Arial"/>
          <w:color w:val="202426"/>
          <w:sz w:val="21"/>
          <w:szCs w:val="21"/>
        </w:rPr>
        <w:t xml:space="preserve"> The ODRS, because it delinks the sales price from the reward to the innovator, can solve all three of the problems caused by multiple indications. First, it can solve the pricing problem by allowing the sales price to be the same across multiple indications, while having </w:t>
      </w:r>
      <w:r w:rsidRPr="006A4D4F">
        <w:rPr>
          <w:rFonts w:ascii="Roboto Medium" w:hAnsi="Roboto Medium" w:cs="Arial"/>
          <w:color w:val="202426"/>
          <w:sz w:val="21"/>
          <w:szCs w:val="21"/>
        </w:rPr>
        <w:t>separate rewards for different indications</w:t>
      </w:r>
      <w:r w:rsidRPr="006A4D4F">
        <w:rPr>
          <w:rFonts w:ascii="Roboto Light" w:hAnsi="Roboto Light" w:cs="Arial"/>
          <w:color w:val="202426"/>
          <w:sz w:val="21"/>
          <w:szCs w:val="21"/>
        </w:rPr>
        <w:t xml:space="preserve"> or classes of patients. Thus, if there are two indications, one high- and one low-value, the ODRS requires only that the number of patients in each indication be tracked</w:t>
      </w:r>
      <w:r w:rsidR="008B4B63" w:rsidRPr="006A4D4F">
        <w:rPr>
          <w:rFonts w:ascii="Roboto Light" w:hAnsi="Roboto Light" w:cs="Arial"/>
          <w:color w:val="202426"/>
          <w:sz w:val="21"/>
          <w:szCs w:val="21"/>
        </w:rPr>
        <w:t xml:space="preserve"> </w:t>
      </w:r>
      <w:proofErr w:type="gramStart"/>
      <w:r w:rsidR="008B4B63" w:rsidRPr="006A4D4F">
        <w:rPr>
          <w:rFonts w:ascii="Roboto Light" w:hAnsi="Roboto Light" w:cs="Arial"/>
          <w:color w:val="202426"/>
          <w:sz w:val="21"/>
          <w:szCs w:val="21"/>
        </w:rPr>
        <w:t>in order to</w:t>
      </w:r>
      <w:proofErr w:type="gramEnd"/>
      <w:r w:rsidR="008B4B63" w:rsidRPr="006A4D4F">
        <w:rPr>
          <w:rFonts w:ascii="Roboto Light" w:hAnsi="Roboto Light" w:cs="Arial"/>
          <w:color w:val="202426"/>
          <w:sz w:val="21"/>
          <w:szCs w:val="21"/>
        </w:rPr>
        <w:t xml:space="preserve"> provide the right reward amount. </w:t>
      </w:r>
    </w:p>
    <w:p w14:paraId="743C2D11" w14:textId="672358EB" w:rsidR="00703681" w:rsidRPr="006A4D4F" w:rsidRDefault="008B4B63" w:rsidP="00E14706">
      <w:pPr>
        <w:rPr>
          <w:rFonts w:ascii="Roboto Light" w:hAnsi="Roboto Light" w:cs="Arial"/>
          <w:color w:val="202426"/>
          <w:sz w:val="21"/>
          <w:szCs w:val="21"/>
        </w:rPr>
      </w:pPr>
      <w:r w:rsidRPr="006A4D4F">
        <w:rPr>
          <w:rFonts w:ascii="Roboto Light" w:hAnsi="Roboto Light" w:cs="Arial"/>
          <w:color w:val="202426"/>
          <w:sz w:val="21"/>
          <w:szCs w:val="21"/>
        </w:rPr>
        <w:t xml:space="preserve">Second, it can solve the problem of firms avoiding “low-value” indications. Because the reward amount for the high-value indication is not linked to the reward amount for the low-value indication, the firm need not worry that there will be any arbitrage or price reference. Thus, if the expected reward is greater than the clinical trial cost for the low-value indication alone, it will be profitable for the firm to invest in developing it. Referring to the numerical example above, under the ODRS, the firm would find it profitable to invest in clinical trials for both the high- and low-value groups – it would be able to earn $800 from the high-value group and $200 from the low-value group, net of clinical trial costs. In the language of economics, the ODRS allows for an </w:t>
      </w:r>
      <w:r w:rsidRPr="006A4D4F">
        <w:rPr>
          <w:rFonts w:ascii="Roboto Medium" w:hAnsi="Roboto Medium" w:cs="Arial"/>
          <w:color w:val="202426"/>
          <w:sz w:val="21"/>
          <w:szCs w:val="21"/>
        </w:rPr>
        <w:t>outcome that resembles perfect price discrimination</w:t>
      </w:r>
      <w:r w:rsidRPr="006A4D4F">
        <w:rPr>
          <w:rFonts w:ascii="Roboto Light" w:hAnsi="Roboto Light" w:cs="Arial"/>
          <w:color w:val="202426"/>
          <w:sz w:val="21"/>
          <w:szCs w:val="21"/>
        </w:rPr>
        <w:t>, which leads to the capture of more surplus.</w:t>
      </w:r>
    </w:p>
    <w:p w14:paraId="6BB1AF41" w14:textId="292AA341" w:rsidR="008B4B63" w:rsidRPr="006A4D4F" w:rsidRDefault="008B4B63" w:rsidP="00E14706">
      <w:pPr>
        <w:rPr>
          <w:rFonts w:ascii="Roboto Light" w:hAnsi="Roboto Light" w:cs="Arial"/>
          <w:color w:val="202426"/>
          <w:sz w:val="21"/>
          <w:szCs w:val="21"/>
        </w:rPr>
      </w:pPr>
      <w:r w:rsidRPr="006A4D4F">
        <w:rPr>
          <w:rFonts w:ascii="Roboto Light" w:hAnsi="Roboto Light" w:cs="Arial"/>
          <w:color w:val="202426"/>
          <w:sz w:val="21"/>
          <w:szCs w:val="21"/>
        </w:rPr>
        <w:t xml:space="preserve">Third, the ODRS can achieve better-tailored rewards for new indications for older drugs. For example, </w:t>
      </w:r>
      <w:r w:rsidR="009F2423" w:rsidRPr="006A4D4F">
        <w:rPr>
          <w:rFonts w:ascii="Roboto Light" w:hAnsi="Roboto Light" w:cs="Arial"/>
          <w:color w:val="202426"/>
          <w:sz w:val="21"/>
          <w:szCs w:val="21"/>
        </w:rPr>
        <w:t xml:space="preserve">it would be possible to reward a firm for bringing new indications for the full 10-year </w:t>
      </w:r>
      <w:r w:rsidR="009F2423" w:rsidRPr="006A4D4F">
        <w:rPr>
          <w:rFonts w:ascii="Roboto Light" w:hAnsi="Roboto Light" w:cs="Arial"/>
          <w:color w:val="202426"/>
          <w:sz w:val="21"/>
          <w:szCs w:val="21"/>
        </w:rPr>
        <w:lastRenderedPageBreak/>
        <w:t>period proposed for rewards, even if the new indication arrived after the product had first been introduced. Given that it is generally less costly to bring a new indication to market than a new chemical entity, a reasonable policy would be to modify the reward for sales of the product after generic entry. For example, the reward rate for sales of a product in its second indication in years 7-10 might be standard, but the reward rate for sales of the product in that indication in years 11-16 would be modified to only 25% of the standard reward. (In this case, the rewards would be paid even based on sales of the molecule by generic firms</w:t>
      </w:r>
      <w:r w:rsidR="008076F8" w:rsidRPr="006A4D4F">
        <w:rPr>
          <w:rFonts w:ascii="Roboto Light" w:hAnsi="Roboto Light" w:cs="Arial"/>
          <w:color w:val="202426"/>
          <w:sz w:val="21"/>
          <w:szCs w:val="21"/>
        </w:rPr>
        <w:t xml:space="preserve"> for the second indication</w:t>
      </w:r>
      <w:r w:rsidR="009F2423" w:rsidRPr="006A4D4F">
        <w:rPr>
          <w:rFonts w:ascii="Roboto Light" w:hAnsi="Roboto Light" w:cs="Arial"/>
          <w:color w:val="202426"/>
          <w:sz w:val="21"/>
          <w:szCs w:val="21"/>
        </w:rPr>
        <w:t>.)</w:t>
      </w:r>
      <w:r w:rsidR="008076F8" w:rsidRPr="006A4D4F">
        <w:rPr>
          <w:rFonts w:ascii="Roboto Light" w:hAnsi="Roboto Light" w:cs="Arial"/>
          <w:color w:val="202426"/>
          <w:sz w:val="21"/>
          <w:szCs w:val="21"/>
        </w:rPr>
        <w:t xml:space="preserve"> The key here is that there is much more </w:t>
      </w:r>
      <w:r w:rsidR="008076F8" w:rsidRPr="006A4D4F">
        <w:rPr>
          <w:rFonts w:ascii="Roboto Medium" w:hAnsi="Roboto Medium" w:cs="Arial"/>
          <w:color w:val="202426"/>
          <w:sz w:val="21"/>
          <w:szCs w:val="21"/>
        </w:rPr>
        <w:t>flexibility</w:t>
      </w:r>
      <w:r w:rsidR="008076F8" w:rsidRPr="006A4D4F">
        <w:rPr>
          <w:rFonts w:ascii="Roboto Light" w:hAnsi="Roboto Light" w:cs="Arial"/>
          <w:color w:val="202426"/>
          <w:sz w:val="21"/>
          <w:szCs w:val="21"/>
        </w:rPr>
        <w:t xml:space="preserve"> when rewarding a firm for value created through a separate payment rather than through high prices. By paying </w:t>
      </w:r>
      <w:r w:rsidR="002775B9" w:rsidRPr="006A4D4F">
        <w:rPr>
          <w:rFonts w:ascii="Roboto Light" w:hAnsi="Roboto Light" w:cs="Arial"/>
          <w:i/>
          <w:iCs/>
          <w:color w:val="202426"/>
          <w:sz w:val="21"/>
          <w:szCs w:val="21"/>
        </w:rPr>
        <w:t>fairly</w:t>
      </w:r>
      <w:r w:rsidR="002775B9" w:rsidRPr="006A4D4F">
        <w:rPr>
          <w:rFonts w:ascii="Roboto Light" w:hAnsi="Roboto Light" w:cs="Arial"/>
          <w:color w:val="202426"/>
          <w:sz w:val="21"/>
          <w:szCs w:val="21"/>
        </w:rPr>
        <w:t xml:space="preserve"> for value, the ODRS could elicit much more investment into secondary indications.</w:t>
      </w:r>
      <w:r w:rsidR="008076F8" w:rsidRPr="006A4D4F">
        <w:rPr>
          <w:rFonts w:ascii="Roboto Light" w:hAnsi="Roboto Light" w:cs="Arial"/>
          <w:color w:val="202426"/>
          <w:sz w:val="21"/>
          <w:szCs w:val="21"/>
        </w:rPr>
        <w:t xml:space="preserve"> This is potentially</w:t>
      </w:r>
      <w:r w:rsidR="002775B9" w:rsidRPr="006A4D4F">
        <w:rPr>
          <w:rFonts w:ascii="Roboto Light" w:hAnsi="Roboto Light" w:cs="Arial"/>
          <w:color w:val="202426"/>
          <w:sz w:val="21"/>
          <w:szCs w:val="21"/>
        </w:rPr>
        <w:t xml:space="preserve"> of great therapeutic importance, since as </w:t>
      </w:r>
      <w:r w:rsidR="003A1808" w:rsidRPr="006A4D4F">
        <w:rPr>
          <w:rFonts w:ascii="Roboto Light" w:hAnsi="Roboto Light" w:cs="Arial"/>
          <w:color w:val="202426"/>
          <w:sz w:val="21"/>
          <w:szCs w:val="21"/>
        </w:rPr>
        <w:t>noted</w:t>
      </w:r>
      <w:r w:rsidR="002775B9" w:rsidRPr="006A4D4F">
        <w:rPr>
          <w:rFonts w:ascii="Roboto Light" w:hAnsi="Roboto Light" w:cs="Arial"/>
          <w:color w:val="202426"/>
          <w:sz w:val="21"/>
          <w:szCs w:val="21"/>
        </w:rPr>
        <w:t xml:space="preserve"> above there is a </w:t>
      </w:r>
      <w:r w:rsidR="003A1808" w:rsidRPr="006A4D4F">
        <w:rPr>
          <w:rFonts w:ascii="Roboto Light" w:hAnsi="Roboto Light" w:cs="Arial"/>
          <w:color w:val="202426"/>
          <w:sz w:val="21"/>
          <w:szCs w:val="21"/>
        </w:rPr>
        <w:t>significant lack</w:t>
      </w:r>
      <w:r w:rsidR="002775B9" w:rsidRPr="006A4D4F">
        <w:rPr>
          <w:rFonts w:ascii="Roboto Light" w:hAnsi="Roboto Light" w:cs="Arial"/>
          <w:color w:val="202426"/>
          <w:sz w:val="21"/>
          <w:szCs w:val="21"/>
        </w:rPr>
        <w:t xml:space="preserve"> of investment into investigation of secondary indications in older drugs. </w:t>
      </w:r>
    </w:p>
    <w:p w14:paraId="77F9DDD3" w14:textId="1FD03AD6" w:rsidR="008076F8" w:rsidRPr="006A4D4F" w:rsidRDefault="008076F8" w:rsidP="00E14706">
      <w:pPr>
        <w:rPr>
          <w:rFonts w:ascii="Roboto Light" w:hAnsi="Roboto Light" w:cs="Arial"/>
          <w:color w:val="202426"/>
          <w:sz w:val="21"/>
          <w:szCs w:val="21"/>
        </w:rPr>
      </w:pPr>
      <w:r w:rsidRPr="006A4D4F">
        <w:rPr>
          <w:rFonts w:ascii="Roboto Light" w:hAnsi="Roboto Light" w:cs="Arial"/>
          <w:color w:val="202426"/>
          <w:sz w:val="21"/>
          <w:szCs w:val="21"/>
        </w:rPr>
        <w:t xml:space="preserve">It is worth emphasizing here that the possibility of multiple indications is one of the causes of delays in current HTA processes, as there is inevitably uncertainty about take-up of the product in different indications or patient groups. The ODRS, because it resolves the problems of appropriate compensation across different types of patients, also resolves the problems of delay in HTA processes. </w:t>
      </w:r>
    </w:p>
    <w:p w14:paraId="64FD95E0" w14:textId="77777777" w:rsidR="00FF2D59" w:rsidRPr="006A4D4F" w:rsidRDefault="00F02D43" w:rsidP="00571B9E">
      <w:pPr>
        <w:pStyle w:val="Heading2"/>
        <w:rPr>
          <w:rFonts w:ascii="Roboto" w:hAnsi="Roboto"/>
          <w:b w:val="0"/>
          <w:bCs w:val="0"/>
          <w:caps/>
        </w:rPr>
      </w:pPr>
      <w:r w:rsidRPr="006A4D4F">
        <w:rPr>
          <w:rFonts w:ascii="Roboto" w:hAnsi="Roboto"/>
          <w:b w:val="0"/>
          <w:bCs w:val="0"/>
          <w:caps/>
        </w:rPr>
        <w:t xml:space="preserve">3.5 </w:t>
      </w:r>
      <w:r w:rsidR="00DC5200" w:rsidRPr="006A4D4F">
        <w:rPr>
          <w:rFonts w:ascii="Roboto" w:hAnsi="Roboto"/>
          <w:b w:val="0"/>
          <w:bCs w:val="0"/>
          <w:caps/>
        </w:rPr>
        <w:t>The ODRS can correct pricing for markets with historically low pricing</w:t>
      </w:r>
    </w:p>
    <w:p w14:paraId="6F6BAE87" w14:textId="5702E004" w:rsidR="00DC5200" w:rsidRPr="006A4D4F" w:rsidRDefault="002775B9" w:rsidP="00DC5200">
      <w:pPr>
        <w:rPr>
          <w:rFonts w:ascii="Roboto Light" w:hAnsi="Roboto Light" w:cs="Arial"/>
          <w:color w:val="202426"/>
          <w:sz w:val="21"/>
          <w:szCs w:val="21"/>
        </w:rPr>
      </w:pPr>
      <w:r w:rsidRPr="006A4D4F">
        <w:rPr>
          <w:rFonts w:ascii="Roboto Light" w:hAnsi="Roboto Light" w:cs="Arial"/>
          <w:color w:val="202426"/>
          <w:sz w:val="21"/>
          <w:szCs w:val="21"/>
          <w:u w:val="single"/>
        </w:rPr>
        <w:t>The problem.</w:t>
      </w:r>
      <w:r w:rsidRPr="006A4D4F">
        <w:rPr>
          <w:rFonts w:ascii="Roboto Light" w:hAnsi="Roboto Light" w:cs="Arial"/>
          <w:color w:val="202426"/>
          <w:sz w:val="21"/>
          <w:szCs w:val="21"/>
        </w:rPr>
        <w:t xml:space="preserve"> </w:t>
      </w:r>
      <w:r w:rsidR="00DC5200" w:rsidRPr="006A4D4F">
        <w:rPr>
          <w:rFonts w:ascii="Roboto Light" w:hAnsi="Roboto Light" w:cs="Arial"/>
          <w:color w:val="202426"/>
          <w:sz w:val="21"/>
          <w:szCs w:val="21"/>
        </w:rPr>
        <w:t xml:space="preserve">In countries that have consistently rejected HTA strictly based on QALYs, as is the case in Germany, </w:t>
      </w:r>
      <w:r w:rsidRPr="006A4D4F">
        <w:rPr>
          <w:rFonts w:ascii="Roboto Light" w:hAnsi="Roboto Light" w:cs="Arial"/>
          <w:color w:val="202426"/>
          <w:sz w:val="21"/>
          <w:szCs w:val="21"/>
        </w:rPr>
        <w:t>there are sometimes inconsistencies in ICERs across therapeutic areas</w:t>
      </w:r>
      <w:r w:rsidR="00DC5200" w:rsidRPr="006A4D4F">
        <w:rPr>
          <w:rFonts w:ascii="Roboto Light" w:hAnsi="Roboto Light" w:cs="Arial"/>
          <w:color w:val="202426"/>
          <w:sz w:val="21"/>
          <w:szCs w:val="21"/>
        </w:rPr>
        <w:t xml:space="preserve">. In the German system, </w:t>
      </w:r>
      <w:r w:rsidRPr="006A4D4F">
        <w:rPr>
          <w:rFonts w:ascii="Roboto Light" w:hAnsi="Roboto Light" w:cs="Arial"/>
          <w:color w:val="202426"/>
          <w:sz w:val="21"/>
          <w:szCs w:val="21"/>
        </w:rPr>
        <w:t>the HTA analysis</w:t>
      </w:r>
      <w:r w:rsidR="00DC5200" w:rsidRPr="006A4D4F">
        <w:rPr>
          <w:rFonts w:ascii="Roboto Light" w:hAnsi="Roboto Light" w:cs="Arial"/>
          <w:color w:val="202426"/>
          <w:sz w:val="21"/>
          <w:szCs w:val="21"/>
        </w:rPr>
        <w:t xml:space="preserve"> focus</w:t>
      </w:r>
      <w:r w:rsidRPr="006A4D4F">
        <w:rPr>
          <w:rFonts w:ascii="Roboto Light" w:hAnsi="Roboto Light" w:cs="Arial"/>
          <w:color w:val="202426"/>
          <w:sz w:val="21"/>
          <w:szCs w:val="21"/>
        </w:rPr>
        <w:t>es</w:t>
      </w:r>
      <w:r w:rsidR="00DC5200" w:rsidRPr="006A4D4F">
        <w:rPr>
          <w:rFonts w:ascii="Roboto Light" w:hAnsi="Roboto Light" w:cs="Arial"/>
          <w:color w:val="202426"/>
          <w:sz w:val="21"/>
          <w:szCs w:val="21"/>
        </w:rPr>
        <w:t xml:space="preserve"> on whether a product maintains the ICER within a therapeutic area.</w:t>
      </w:r>
      <w:r w:rsidR="00DC5200"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{"citationItems":[{"id":"ITEM-1","itemData":{"author":[{"dropping-particle":"","family":"Gandjour","given":"Afschin","non-dropping-particle":"","parse-names":false,"suffix":""}],"container-title":"BMC Health Services Research","id":"ITEM-1","issue":"1","issued":{"date-parts":[["2020"]]},"page":"1-7","publisher":"Springer","title":"Willingness to pay for new medicines: a step towards narrowing the gap between NICE and IQWiG","type":"article-journal","volume":"20"},"uris":["http://www.mendeley.com/documents/?uuid=01c590ba-1305-4797-ace5-8cbad9109493"]}],"mendeley":{"formattedCitation":"(25)","plainTextFormattedCitation":"(25)","previouslyFormattedCitation":"(25)"},"properties":{"noteIndex":0},"schema":"https://github.com/citation-style-language/schema/raw/master/csl-citation.json"}</w:instrText>
      </w:r>
      <w:r w:rsidR="00DC5200"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(25)</w:t>
      </w:r>
      <w:r w:rsidR="00DC5200" w:rsidRPr="006A4D4F">
        <w:rPr>
          <w:rFonts w:ascii="Roboto Light" w:hAnsi="Roboto Light" w:cs="Arial"/>
          <w:color w:val="202426"/>
          <w:sz w:val="21"/>
          <w:szCs w:val="21"/>
        </w:rPr>
        <w:fldChar w:fldCharType="end"/>
      </w:r>
      <w:r w:rsidR="00DC5200" w:rsidRPr="006A4D4F">
        <w:rPr>
          <w:rFonts w:ascii="Roboto Light" w:hAnsi="Roboto Light" w:cs="Arial"/>
          <w:color w:val="202426"/>
          <w:sz w:val="21"/>
          <w:szCs w:val="21"/>
        </w:rPr>
        <w:t xml:space="preserve"> This allows for persistent differences between ICERs across therapeutic areas</w:t>
      </w:r>
      <w:r w:rsidRPr="006A4D4F">
        <w:rPr>
          <w:rFonts w:ascii="Roboto Light" w:hAnsi="Roboto Light" w:cs="Arial"/>
          <w:color w:val="202426"/>
          <w:sz w:val="21"/>
          <w:szCs w:val="21"/>
        </w:rPr>
        <w:t xml:space="preserve">, and </w:t>
      </w:r>
      <w:r w:rsidR="00DC5200" w:rsidRPr="006A4D4F">
        <w:rPr>
          <w:rFonts w:ascii="Roboto Light" w:hAnsi="Roboto Light" w:cs="Arial"/>
          <w:color w:val="202426"/>
          <w:sz w:val="21"/>
          <w:szCs w:val="21"/>
        </w:rPr>
        <w:t>creates different</w:t>
      </w:r>
      <w:r w:rsidRPr="006A4D4F">
        <w:rPr>
          <w:rFonts w:ascii="Roboto Light" w:hAnsi="Roboto Light" w:cs="Arial"/>
          <w:color w:val="202426"/>
          <w:sz w:val="21"/>
          <w:szCs w:val="21"/>
        </w:rPr>
        <w:t>ial</w:t>
      </w:r>
      <w:r w:rsidR="00DC5200" w:rsidRPr="006A4D4F">
        <w:rPr>
          <w:rFonts w:ascii="Roboto Light" w:hAnsi="Roboto Light" w:cs="Arial"/>
          <w:color w:val="202426"/>
          <w:sz w:val="21"/>
          <w:szCs w:val="21"/>
        </w:rPr>
        <w:t xml:space="preserve"> incentives for innovation. </w:t>
      </w:r>
    </w:p>
    <w:p w14:paraId="1113706D" w14:textId="5EC3BB33" w:rsidR="00DC5200" w:rsidRPr="006A4D4F" w:rsidRDefault="002775B9" w:rsidP="00FF2D59">
      <w:pPr>
        <w:rPr>
          <w:rFonts w:ascii="Roboto Light" w:hAnsi="Roboto Light" w:cs="Arial"/>
          <w:color w:val="202426"/>
          <w:sz w:val="21"/>
          <w:szCs w:val="21"/>
        </w:rPr>
      </w:pPr>
      <w:r w:rsidRPr="006A4D4F">
        <w:rPr>
          <w:rFonts w:ascii="Roboto Light" w:hAnsi="Roboto Light" w:cs="Arial"/>
          <w:color w:val="202426"/>
          <w:sz w:val="21"/>
          <w:szCs w:val="21"/>
          <w:u w:val="single"/>
        </w:rPr>
        <w:t>The ODRS as a solution.</w:t>
      </w:r>
      <w:r w:rsidRPr="006A4D4F">
        <w:rPr>
          <w:rFonts w:ascii="Roboto Light" w:hAnsi="Roboto Light" w:cs="Arial"/>
          <w:color w:val="202426"/>
          <w:sz w:val="21"/>
          <w:szCs w:val="21"/>
        </w:rPr>
        <w:t xml:space="preserve"> The ODRS, without </w:t>
      </w:r>
      <w:r w:rsidR="00765241" w:rsidRPr="006A4D4F">
        <w:rPr>
          <w:rFonts w:ascii="Roboto Light" w:hAnsi="Roboto Light" w:cs="Arial"/>
          <w:color w:val="202426"/>
          <w:sz w:val="21"/>
          <w:szCs w:val="21"/>
        </w:rPr>
        <w:t xml:space="preserve">forcing a change to the entire system, would facilitate the payment of </w:t>
      </w:r>
      <w:r w:rsidR="00765241" w:rsidRPr="006A4D4F">
        <w:rPr>
          <w:rFonts w:ascii="Roboto Light" w:hAnsi="Roboto Light" w:cs="Arial"/>
          <w:i/>
          <w:iCs/>
          <w:color w:val="202426"/>
          <w:sz w:val="21"/>
          <w:szCs w:val="21"/>
        </w:rPr>
        <w:t>fair</w:t>
      </w:r>
      <w:r w:rsidR="00765241" w:rsidRPr="006A4D4F">
        <w:rPr>
          <w:rFonts w:ascii="Roboto Light" w:hAnsi="Roboto Light" w:cs="Arial"/>
          <w:color w:val="202426"/>
          <w:sz w:val="21"/>
          <w:szCs w:val="21"/>
        </w:rPr>
        <w:t xml:space="preserve"> rewards to firms in currently undervalued therapeutic areas. </w:t>
      </w:r>
    </w:p>
    <w:p w14:paraId="31CCB0FB" w14:textId="77777777" w:rsidR="00DC5200" w:rsidRPr="006A4D4F" w:rsidRDefault="00DC5200" w:rsidP="00571B9E">
      <w:pPr>
        <w:pStyle w:val="Heading2"/>
        <w:rPr>
          <w:rFonts w:ascii="Roboto" w:hAnsi="Roboto"/>
          <w:b w:val="0"/>
          <w:bCs w:val="0"/>
          <w:caps/>
        </w:rPr>
      </w:pPr>
      <w:r w:rsidRPr="006A4D4F">
        <w:rPr>
          <w:rFonts w:ascii="Roboto" w:hAnsi="Roboto"/>
          <w:b w:val="0"/>
          <w:bCs w:val="0"/>
          <w:caps/>
        </w:rPr>
        <w:t>3.6 The ODRS can correct for distorting effects of variable patent protection</w:t>
      </w:r>
    </w:p>
    <w:p w14:paraId="14AE6D8B" w14:textId="67AA06C6" w:rsidR="00DC5200" w:rsidRPr="006A4D4F" w:rsidRDefault="00765241" w:rsidP="00FF2D59">
      <w:pPr>
        <w:rPr>
          <w:rFonts w:ascii="Roboto Light" w:hAnsi="Roboto Light" w:cs="Arial"/>
          <w:color w:val="202426"/>
          <w:sz w:val="21"/>
          <w:szCs w:val="21"/>
        </w:rPr>
      </w:pPr>
      <w:r w:rsidRPr="006A4D4F">
        <w:rPr>
          <w:rFonts w:ascii="Roboto Light" w:hAnsi="Roboto Light" w:cs="Arial"/>
          <w:color w:val="202426"/>
          <w:sz w:val="21"/>
          <w:szCs w:val="21"/>
          <w:u w:val="single"/>
        </w:rPr>
        <w:t>The problem.</w:t>
      </w:r>
      <w:r w:rsidRPr="006A4D4F">
        <w:rPr>
          <w:rFonts w:ascii="Roboto Light" w:hAnsi="Roboto Light" w:cs="Arial"/>
          <w:color w:val="202426"/>
          <w:sz w:val="21"/>
          <w:szCs w:val="21"/>
        </w:rPr>
        <w:t xml:space="preserve"> </w:t>
      </w:r>
      <w:r w:rsidR="00DC5200" w:rsidRPr="006A4D4F">
        <w:rPr>
          <w:rFonts w:ascii="Roboto Light" w:hAnsi="Roboto Light" w:cs="Arial"/>
          <w:color w:val="202426"/>
          <w:sz w:val="21"/>
          <w:szCs w:val="21"/>
        </w:rPr>
        <w:t>There is considerable variation in the duration of exclusivity achieved by different drugs.</w:t>
      </w:r>
      <w:r w:rsidR="00996CB4" w:rsidRPr="006A4D4F">
        <w:rPr>
          <w:rFonts w:ascii="Roboto Light" w:hAnsi="Roboto Light" w:cs="Arial"/>
          <w:color w:val="202426"/>
          <w:sz w:val="21"/>
          <w:szCs w:val="21"/>
        </w:rPr>
        <w:t xml:space="preserve"> A study of 102 new molecular entities in the US found that while the exclusivity period of the median drug was 13.8 years, the drug at the 25</w:t>
      </w:r>
      <w:r w:rsidR="00996CB4" w:rsidRPr="006A4D4F">
        <w:rPr>
          <w:rFonts w:ascii="Roboto Light" w:hAnsi="Roboto Light" w:cs="Arial"/>
          <w:color w:val="202426"/>
          <w:sz w:val="21"/>
          <w:szCs w:val="21"/>
          <w:vertAlign w:val="superscript"/>
        </w:rPr>
        <w:t>th</w:t>
      </w:r>
      <w:r w:rsidR="00996CB4" w:rsidRPr="006A4D4F">
        <w:rPr>
          <w:rFonts w:ascii="Roboto Light" w:hAnsi="Roboto Light" w:cs="Arial"/>
          <w:color w:val="202426"/>
          <w:sz w:val="21"/>
          <w:szCs w:val="21"/>
        </w:rPr>
        <w:t xml:space="preserve"> percentile had only 10.8 years before generic entry, while the drug at the 75</w:t>
      </w:r>
      <w:r w:rsidR="00996CB4" w:rsidRPr="006A4D4F">
        <w:rPr>
          <w:rFonts w:ascii="Roboto Light" w:hAnsi="Roboto Light" w:cs="Arial"/>
          <w:color w:val="202426"/>
          <w:sz w:val="21"/>
          <w:szCs w:val="21"/>
          <w:vertAlign w:val="superscript"/>
        </w:rPr>
        <w:t>th</w:t>
      </w:r>
      <w:r w:rsidR="00996CB4" w:rsidRPr="006A4D4F">
        <w:rPr>
          <w:rFonts w:ascii="Roboto Light" w:hAnsi="Roboto Light" w:cs="Arial"/>
          <w:color w:val="202426"/>
          <w:sz w:val="21"/>
          <w:szCs w:val="21"/>
        </w:rPr>
        <w:t xml:space="preserve"> percentile enjoyed 14.8 years</w:t>
      </w:r>
      <w:r w:rsidRPr="006A4D4F">
        <w:rPr>
          <w:rFonts w:ascii="Roboto Light" w:hAnsi="Roboto Light" w:cs="Arial"/>
          <w:color w:val="202426"/>
          <w:sz w:val="21"/>
          <w:szCs w:val="21"/>
        </w:rPr>
        <w:t>, or almost 40% more</w:t>
      </w:r>
      <w:r w:rsidR="00996CB4" w:rsidRPr="006A4D4F">
        <w:rPr>
          <w:rFonts w:ascii="Roboto Light" w:hAnsi="Roboto Light" w:cs="Arial"/>
          <w:color w:val="202426"/>
          <w:sz w:val="21"/>
          <w:szCs w:val="21"/>
        </w:rPr>
        <w:t>.</w:t>
      </w:r>
      <w:r w:rsidR="00915CB0"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{"citationItems":[{"id":"ITEM-1","itemData":{"DOI":"10.1001/jamainternmed.2014.7968","ISSN":"2168-6114","PMID":"25664700","abstract":"In the United States, effective market exclusivity for a prescription drug is the time between US Food and Drug Administration (FDA) approval and the availability of the first generic version. Market exclusivity incorporates the minimum regulatory exclusivity periods granted to all FDA-approved drugs (eg, 5 years for new small-molecule drugs as set by the Hatch-Waxman Act of 1984), the remaining time on the original patent covering the active ingredient in the drug, the existence of so-called secondary patents covering peripheral aspects of drugs such as metabolites or alternative formulations,1 and other factors that affect generic entry, such as generic manufacturers’ prospects of profit-making in the market and legal settlements between manufacturers of brand-name and generic drugs regarding disputed patents. Recent research has shown that prescription brand-name drugs that eventually face generic competition have, on average, an effective market exclusivity period of 12.4 years.2 We assessed how the market exclusivity period varied among drugs for different therapeutic areas and for other characteristics of top-selling prescription medications.","author":[{"dropping-particle":"","family":"Wang","given":"Bo","non-dropping-particle":"","parse-names":false,"suffix":""},{"dropping-particle":"","family":"Liu","given":"Jun","non-dropping-particle":"","parse-names":false,"suffix":""},{"dropping-particle":"","family":"Kesselheim","given":"Aaron S","non-dropping-particle":"","parse-names":false,"suffix":""}],"container-title":"JAMA internal medicine","id":"ITEM-1","issue":"4","issued":{"date-parts":[["2015"]]},"page":"635-7","title":"Variations in time of market exclusivity among top-selling prescription drugs in the United States.","type":"article-journal","volume":"175"},"uris":["http://www.mendeley.com/documents/?uuid=80d1397c-50d1-4776-bc8d-3280800c03f8"]}],"mendeley":{"formattedCitation":"(26)","plainTextFormattedCitation":"(26)","previouslyFormattedCitation":"(26)"},"properties":{"noteIndex":0},"schema":"https://github.com/citation-style-language/schema/raw/master/csl-citation.json"}</w:instrText>
      </w:r>
      <w:r w:rsidR="00915CB0"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(26)</w:t>
      </w:r>
      <w:r w:rsidR="00915CB0" w:rsidRPr="006A4D4F">
        <w:rPr>
          <w:rFonts w:ascii="Roboto Light" w:hAnsi="Roboto Light" w:cs="Arial"/>
          <w:color w:val="202426"/>
          <w:sz w:val="21"/>
          <w:szCs w:val="21"/>
        </w:rPr>
        <w:fldChar w:fldCharType="end"/>
      </w:r>
      <w:r w:rsidRPr="006A4D4F">
        <w:rPr>
          <w:rFonts w:ascii="Roboto Light" w:hAnsi="Roboto Light" w:cs="Arial"/>
          <w:color w:val="202426"/>
          <w:sz w:val="21"/>
          <w:szCs w:val="21"/>
        </w:rPr>
        <w:t xml:space="preserve"> Differences across the tails of the distribution are even larger. </w:t>
      </w:r>
      <w:r w:rsidR="00720C16" w:rsidRPr="006A4D4F">
        <w:rPr>
          <w:rFonts w:ascii="Roboto Light" w:hAnsi="Roboto Light" w:cs="Arial"/>
          <w:color w:val="202426"/>
          <w:sz w:val="21"/>
          <w:szCs w:val="21"/>
        </w:rPr>
        <w:t xml:space="preserve">Part of the reason for this is that there are significant differences in the length of clinical trials required for different types of drugs. </w:t>
      </w:r>
      <w:r w:rsidRPr="006A4D4F">
        <w:rPr>
          <w:rFonts w:ascii="Roboto Light" w:hAnsi="Roboto Light" w:cs="Arial"/>
          <w:color w:val="202426"/>
          <w:sz w:val="21"/>
          <w:szCs w:val="21"/>
        </w:rPr>
        <w:t>This has significant effect on incentives. First, firms have strong</w:t>
      </w:r>
      <w:r w:rsidR="00720C16" w:rsidRPr="006A4D4F">
        <w:rPr>
          <w:rFonts w:ascii="Roboto Light" w:hAnsi="Roboto Light" w:cs="Arial"/>
          <w:color w:val="202426"/>
          <w:sz w:val="21"/>
          <w:szCs w:val="21"/>
        </w:rPr>
        <w:t>, and possibly excessive,</w:t>
      </w:r>
      <w:r w:rsidRPr="006A4D4F">
        <w:rPr>
          <w:rFonts w:ascii="Roboto Light" w:hAnsi="Roboto Light" w:cs="Arial"/>
          <w:color w:val="202426"/>
          <w:sz w:val="21"/>
          <w:szCs w:val="21"/>
        </w:rPr>
        <w:t xml:space="preserve"> incentives to accelerate clinical trials to maximize the duration of exclusivity. </w:t>
      </w:r>
      <w:r w:rsidR="006C174A" w:rsidRPr="006A4D4F">
        <w:rPr>
          <w:rFonts w:ascii="Roboto Light" w:hAnsi="Roboto Light" w:cs="Arial"/>
          <w:color w:val="202426"/>
          <w:sz w:val="21"/>
          <w:szCs w:val="21"/>
        </w:rPr>
        <w:t>Second, for classes of medicines that require long trials to demonstrate effectiveness, incentives are likely to be inadequate, potentially leading to underinvestment in some therapeutic areas.</w:t>
      </w:r>
      <w:r w:rsidR="00B41D1C"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{"citationItems":[{"id":"ITEM-1","itemData":{"DOI":"10.1111/jphs.12288","ISSN":"1759-8885","abstract":"Biopharmaceutical innovation is highly dependent on a period of exclusive marketing after approval, to cover the costs of research and development programs. Longer R&amp;amp;D programs are not, however, associated with longer periods of exclusive marketing. Instead exclusivity dwindles with each additional month of pre-commercialization research — an innovation paradox.Drawing on the length of premarket programs from 1984 to 2016 using a dataset of regulatory milestones made public through FDA's implementation of the patent term restoration provisions of the 1984 Hatch-Waxman statute, this article explores the impact of the innovation paradox on drug research and development decisions.Lengthy clinical testing periods can lead to shortened effective patent life.If the length of the pre-market process correlates with particular drug types, disease targets, or studied outcomes, we may be offering an inadequate incentive in entire areas of medicine where we have a critical need for new treatments.","author":[{"dropping-particle":"","family":"Lietzan","given":"Erika","non-dropping-particle":"","parse-names":false,"suffix":""},{"dropping-particle":"","family":"Acri née Lybecker","given":"Kristina M L","non-dropping-particle":"","parse-names":false,"suffix":""}],"container-title":"Journal of Pharmaceutical Health Services Research","id":"ITEM-1","issue":"2","issued":{"date-parts":[["2019","6","1"]]},"page":"169-175","title":"The innovation paradox: pharmaceutical marketing exclusivity and incentives for drug development","type":"article-journal","volume":"10"},"uris":["http://www.mendeley.com/documents/?uuid=bbec7308-52f1-45f0-acf0-9a016cb45bfe"]}],"mendeley":{"formattedCitation":"(27)","plainTextFormattedCitation":"(27)","previouslyFormattedCitation":"(27)"},"properties":{"noteIndex":0},"schema":"https://github.com/citation-style-language/schema/raw/master/csl-citation.json"}</w:instrText>
      </w:r>
      <w:r w:rsidR="00B41D1C"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(27)</w:t>
      </w:r>
      <w:r w:rsidR="00B41D1C" w:rsidRPr="006A4D4F">
        <w:rPr>
          <w:rFonts w:ascii="Roboto Light" w:hAnsi="Roboto Light" w:cs="Arial"/>
          <w:color w:val="202426"/>
          <w:sz w:val="21"/>
          <w:szCs w:val="21"/>
        </w:rPr>
        <w:fldChar w:fldCharType="end"/>
      </w:r>
      <w:r w:rsidR="00B41D1C" w:rsidRPr="006A4D4F">
        <w:rPr>
          <w:rFonts w:ascii="Roboto Light" w:hAnsi="Roboto Light" w:cs="Arial"/>
          <w:color w:val="202426"/>
          <w:sz w:val="21"/>
          <w:szCs w:val="21"/>
        </w:rPr>
        <w:t xml:space="preserve"> One estimate put the annual lost life-years from misallocated cancer therapy research (away from early-stage therapies) at 900,000 annually in the US </w:t>
      </w:r>
      <w:r w:rsidR="00A131D6" w:rsidRPr="006A4D4F">
        <w:rPr>
          <w:rFonts w:ascii="Roboto Light" w:hAnsi="Roboto Light" w:cs="Arial"/>
          <w:color w:val="202426"/>
          <w:sz w:val="21"/>
          <w:szCs w:val="21"/>
        </w:rPr>
        <w:t>alone</w:t>
      </w:r>
      <w:r w:rsidR="00B41D1C" w:rsidRPr="006A4D4F">
        <w:rPr>
          <w:rFonts w:ascii="Roboto Light" w:hAnsi="Roboto Light" w:cs="Arial"/>
          <w:color w:val="202426"/>
          <w:sz w:val="21"/>
          <w:szCs w:val="21"/>
        </w:rPr>
        <w:t>.</w:t>
      </w:r>
      <w:r w:rsidR="00B41D1C" w:rsidRPr="006A4D4F">
        <w:rPr>
          <w:rFonts w:ascii="Roboto Light" w:hAnsi="Roboto Light" w:cs="Arial"/>
          <w:color w:val="202426"/>
          <w:sz w:val="21"/>
          <w:szCs w:val="21"/>
        </w:rPr>
        <w:fldChar w:fldCharType="begin" w:fldLock="1"/>
      </w:r>
      <w:r w:rsidR="00946275" w:rsidRPr="006A4D4F">
        <w:rPr>
          <w:rFonts w:ascii="Roboto Light" w:hAnsi="Roboto Light" w:cs="Arial"/>
          <w:color w:val="202426"/>
          <w:sz w:val="21"/>
          <w:szCs w:val="21"/>
        </w:rPr>
        <w:instrText>ADDIN CSL_CITATION {"citationItems":[{"id":"ITEM-1","itemData":{"abstract":"We investigate whether private research investments are distorted away from long-term projects. Our theoretical model highlights two potential sources of this distortion: short-termism and the fixed patent term. Our empirical context is cancer research, where clinical trials—and hence, project durations—are shorter for late-stage cancer treatments relative to early-stage treatments or cancer prevention. Using newly constructed data, we document several sources of evidence that together show private research investments are distorted away from long-term projects. The value of life-years at stake appears large. We analyze three potential policy responses: surrogate (non-mortality) clinical-trial endpoints, targeted R&amp;D subsidies, and patent design. (JEL D92, G31, I11, L65, O31, O34)","author":[{"dropping-particle":"","family":"Budish","given":"E","non-dropping-particle":"","parse-names":false,"suffix":""},{"dropping-particle":"","family":"Roin","given":"BN","non-dropping-particle":"","parse-names":false,"suffix":""},{"dropping-particle":"","family":"Williams","given":"H","non-dropping-particle":"","parse-names":false,"suffix":""}],"container-title":"American Economic Review","id":"ITEM-1","issue":"7","issued":{"date-parts":[["2015"]]},"page":"2044-2085","title":"Do firms underinvest in long-term research? Evidence from cancer clinical trials","type":"article-journal","volume":"105"},"uris":["http://www.mendeley.com/documents/?uuid=f2b80f96-ccfa-4272-a7a9-918ad49d7332"]}],"mendeley":{"formattedCitation":"(28)","plainTextFormattedCitation":"(28)","previouslyFormattedCitation":"(28)"},"properties":{"noteIndex":0},"schema":"https://github.com/citation-style-language/schema/raw/master/csl-citation.json"}</w:instrText>
      </w:r>
      <w:r w:rsidR="00B41D1C" w:rsidRPr="006A4D4F">
        <w:rPr>
          <w:rFonts w:ascii="Roboto Light" w:hAnsi="Roboto Light" w:cs="Arial"/>
          <w:color w:val="202426"/>
          <w:sz w:val="21"/>
          <w:szCs w:val="21"/>
        </w:rPr>
        <w:fldChar w:fldCharType="separate"/>
      </w:r>
      <w:r w:rsidR="009F3FB1" w:rsidRPr="006A4D4F">
        <w:rPr>
          <w:rFonts w:ascii="Roboto Light" w:hAnsi="Roboto Light" w:cs="Arial"/>
          <w:noProof/>
          <w:color w:val="202426"/>
          <w:sz w:val="21"/>
          <w:szCs w:val="21"/>
        </w:rPr>
        <w:t>(28)</w:t>
      </w:r>
      <w:r w:rsidR="00B41D1C" w:rsidRPr="006A4D4F">
        <w:rPr>
          <w:rFonts w:ascii="Roboto Light" w:hAnsi="Roboto Light" w:cs="Arial"/>
          <w:color w:val="202426"/>
          <w:sz w:val="21"/>
          <w:szCs w:val="21"/>
        </w:rPr>
        <w:fldChar w:fldCharType="end"/>
      </w:r>
    </w:p>
    <w:p w14:paraId="02AD379B" w14:textId="6B235DD5" w:rsidR="00DC5200" w:rsidRPr="006A4D4F" w:rsidRDefault="00720C16" w:rsidP="00FF2D59">
      <w:pPr>
        <w:rPr>
          <w:rFonts w:ascii="Roboto Light" w:hAnsi="Roboto Light" w:cs="Arial"/>
          <w:color w:val="202426"/>
          <w:sz w:val="21"/>
          <w:szCs w:val="21"/>
        </w:rPr>
      </w:pPr>
      <w:r w:rsidRPr="006A4D4F">
        <w:rPr>
          <w:rFonts w:ascii="Roboto Light" w:hAnsi="Roboto Light" w:cs="Arial"/>
          <w:color w:val="202426"/>
          <w:sz w:val="21"/>
          <w:szCs w:val="21"/>
          <w:u w:val="single"/>
        </w:rPr>
        <w:t>The ODRS as a solution.</w:t>
      </w:r>
      <w:r w:rsidRPr="006A4D4F">
        <w:rPr>
          <w:rFonts w:ascii="Roboto Light" w:hAnsi="Roboto Light" w:cs="Arial"/>
          <w:color w:val="202426"/>
          <w:sz w:val="21"/>
          <w:szCs w:val="21"/>
        </w:rPr>
        <w:t xml:space="preserve"> The ODRS does not need to tie rewards to patent exclusivity. Because the firm makes essentially no profit from sales except through the reward paid for the health benefit </w:t>
      </w:r>
      <w:r w:rsidRPr="006A4D4F">
        <w:rPr>
          <w:rFonts w:ascii="Roboto Light" w:hAnsi="Roboto Light" w:cs="Arial"/>
          <w:color w:val="202426"/>
          <w:sz w:val="21"/>
          <w:szCs w:val="21"/>
        </w:rPr>
        <w:lastRenderedPageBreak/>
        <w:t xml:space="preserve">achieved, exclusivity is not important. Even if generic entry </w:t>
      </w:r>
      <w:r w:rsidR="00A131D6" w:rsidRPr="006A4D4F">
        <w:rPr>
          <w:rFonts w:ascii="Roboto Light" w:hAnsi="Roboto Light" w:cs="Arial"/>
          <w:color w:val="202426"/>
          <w:sz w:val="21"/>
          <w:szCs w:val="21"/>
        </w:rPr>
        <w:t xml:space="preserve">into the molecule had already </w:t>
      </w:r>
      <w:r w:rsidRPr="006A4D4F">
        <w:rPr>
          <w:rFonts w:ascii="Roboto Light" w:hAnsi="Roboto Light" w:cs="Arial"/>
          <w:color w:val="202426"/>
          <w:sz w:val="21"/>
          <w:szCs w:val="21"/>
        </w:rPr>
        <w:t>occurred, the innovator firm could be paid rewards based on the assessed health benefit from all sales of the molecule</w:t>
      </w:r>
      <w:r w:rsidR="003A1808" w:rsidRPr="006A4D4F">
        <w:rPr>
          <w:rFonts w:ascii="Roboto Light" w:hAnsi="Roboto Light" w:cs="Arial"/>
          <w:color w:val="202426"/>
          <w:sz w:val="21"/>
          <w:szCs w:val="21"/>
        </w:rPr>
        <w:t xml:space="preserve"> made</w:t>
      </w:r>
      <w:r w:rsidRPr="006A4D4F">
        <w:rPr>
          <w:rFonts w:ascii="Roboto Light" w:hAnsi="Roboto Light" w:cs="Arial"/>
          <w:color w:val="202426"/>
          <w:sz w:val="21"/>
          <w:szCs w:val="21"/>
        </w:rPr>
        <w:t xml:space="preserve"> by it and by generic competitors. This would </w:t>
      </w:r>
      <w:r w:rsidR="00A131D6" w:rsidRPr="006A4D4F">
        <w:rPr>
          <w:rFonts w:ascii="Roboto Light" w:hAnsi="Roboto Light" w:cs="Arial"/>
          <w:color w:val="202426"/>
          <w:sz w:val="21"/>
          <w:szCs w:val="21"/>
        </w:rPr>
        <w:t>eliminate the artificial</w:t>
      </w:r>
      <w:r w:rsidRPr="006A4D4F">
        <w:rPr>
          <w:rFonts w:ascii="Roboto Light" w:hAnsi="Roboto Light" w:cs="Arial"/>
          <w:color w:val="202426"/>
          <w:sz w:val="21"/>
          <w:szCs w:val="21"/>
        </w:rPr>
        <w:t xml:space="preserve"> </w:t>
      </w:r>
      <w:r w:rsidR="00A131D6" w:rsidRPr="006A4D4F">
        <w:rPr>
          <w:rFonts w:ascii="Roboto Light" w:hAnsi="Roboto Light" w:cs="Arial"/>
          <w:color w:val="202426"/>
          <w:sz w:val="21"/>
          <w:szCs w:val="21"/>
        </w:rPr>
        <w:t>penalty created by the patent system for</w:t>
      </w:r>
      <w:r w:rsidRPr="006A4D4F">
        <w:rPr>
          <w:rFonts w:ascii="Roboto Light" w:hAnsi="Roboto Light" w:cs="Arial"/>
          <w:color w:val="202426"/>
          <w:sz w:val="21"/>
          <w:szCs w:val="21"/>
        </w:rPr>
        <w:t xml:space="preserve"> therapies that require long clinical trials, since</w:t>
      </w:r>
      <w:r w:rsidR="00A131D6" w:rsidRPr="006A4D4F">
        <w:rPr>
          <w:rFonts w:ascii="Roboto Light" w:hAnsi="Roboto Light" w:cs="Arial"/>
          <w:color w:val="202426"/>
          <w:sz w:val="21"/>
          <w:szCs w:val="21"/>
        </w:rPr>
        <w:t xml:space="preserve"> with the ODRS</w:t>
      </w:r>
      <w:r w:rsidRPr="006A4D4F">
        <w:rPr>
          <w:rFonts w:ascii="Roboto Light" w:hAnsi="Roboto Light" w:cs="Arial"/>
          <w:color w:val="202426"/>
          <w:sz w:val="21"/>
          <w:szCs w:val="21"/>
        </w:rPr>
        <w:t xml:space="preserve"> the innovator could anticipate </w:t>
      </w:r>
      <w:r w:rsidR="00A131D6" w:rsidRPr="006A4D4F">
        <w:rPr>
          <w:rFonts w:ascii="Roboto Light" w:hAnsi="Roboto Light" w:cs="Arial"/>
          <w:color w:val="202426"/>
          <w:sz w:val="21"/>
          <w:szCs w:val="21"/>
        </w:rPr>
        <w:t>rewards</w:t>
      </w:r>
      <w:r w:rsidRPr="006A4D4F">
        <w:rPr>
          <w:rFonts w:ascii="Roboto Light" w:hAnsi="Roboto Light" w:cs="Arial"/>
          <w:color w:val="202426"/>
          <w:sz w:val="21"/>
          <w:szCs w:val="21"/>
        </w:rPr>
        <w:t xml:space="preserve"> based on the health benefit for </w:t>
      </w:r>
      <w:r w:rsidR="00A131D6" w:rsidRPr="006A4D4F">
        <w:rPr>
          <w:rFonts w:ascii="Roboto Light" w:hAnsi="Roboto Light" w:cs="Arial"/>
          <w:color w:val="202426"/>
          <w:sz w:val="21"/>
          <w:szCs w:val="21"/>
        </w:rPr>
        <w:t>a</w:t>
      </w:r>
      <w:r w:rsidRPr="006A4D4F">
        <w:rPr>
          <w:rFonts w:ascii="Roboto Light" w:hAnsi="Roboto Light" w:cs="Arial"/>
          <w:color w:val="202426"/>
          <w:sz w:val="21"/>
          <w:szCs w:val="21"/>
        </w:rPr>
        <w:t xml:space="preserve"> full ten years.  </w:t>
      </w:r>
      <w:r w:rsidR="00A131D6" w:rsidRPr="006A4D4F">
        <w:rPr>
          <w:rFonts w:ascii="Roboto Light" w:hAnsi="Roboto Light" w:cs="Arial"/>
          <w:color w:val="202426"/>
          <w:sz w:val="21"/>
          <w:szCs w:val="21"/>
        </w:rPr>
        <w:t>In effect</w:t>
      </w:r>
      <w:r w:rsidRPr="006A4D4F">
        <w:rPr>
          <w:rFonts w:ascii="Roboto Light" w:hAnsi="Roboto Light" w:cs="Arial"/>
          <w:color w:val="202426"/>
          <w:sz w:val="21"/>
          <w:szCs w:val="21"/>
        </w:rPr>
        <w:t xml:space="preserve">, the ODRS could make rewards for innovation fairer across therapeutic categories </w:t>
      </w:r>
      <w:r w:rsidR="00B41D1C" w:rsidRPr="006A4D4F">
        <w:rPr>
          <w:rFonts w:ascii="Roboto Light" w:hAnsi="Roboto Light" w:cs="Arial"/>
          <w:color w:val="202426"/>
          <w:sz w:val="21"/>
          <w:szCs w:val="21"/>
        </w:rPr>
        <w:t xml:space="preserve">and drugs with different anticipated clinical trial duration </w:t>
      </w:r>
      <w:r w:rsidRPr="006A4D4F">
        <w:rPr>
          <w:rFonts w:ascii="Roboto Light" w:hAnsi="Roboto Light" w:cs="Arial"/>
          <w:color w:val="202426"/>
          <w:sz w:val="21"/>
          <w:szCs w:val="21"/>
        </w:rPr>
        <w:t xml:space="preserve">to reflect their real contribution towards health. </w:t>
      </w:r>
    </w:p>
    <w:p w14:paraId="4A3ADB12" w14:textId="77777777" w:rsidR="00DC5200" w:rsidRPr="006A4D4F" w:rsidRDefault="00DC5200" w:rsidP="00571B9E">
      <w:pPr>
        <w:pStyle w:val="Heading2"/>
        <w:rPr>
          <w:rFonts w:ascii="Roboto" w:hAnsi="Roboto"/>
          <w:b w:val="0"/>
          <w:bCs w:val="0"/>
          <w:caps/>
        </w:rPr>
      </w:pPr>
      <w:r w:rsidRPr="006A4D4F">
        <w:rPr>
          <w:rFonts w:ascii="Roboto" w:hAnsi="Roboto"/>
          <w:b w:val="0"/>
          <w:bCs w:val="0"/>
          <w:caps/>
        </w:rPr>
        <w:t>3.7. The ODRS can offer fair pricing for orphan drugs</w:t>
      </w:r>
    </w:p>
    <w:p w14:paraId="1281F71B" w14:textId="657441BE" w:rsidR="00B41D1C" w:rsidRPr="006A4D4F" w:rsidRDefault="00B41D1C" w:rsidP="00DC5200">
      <w:pPr>
        <w:rPr>
          <w:rFonts w:ascii="Roboto Light" w:hAnsi="Roboto Light" w:cs="Arial"/>
          <w:color w:val="202426"/>
          <w:sz w:val="21"/>
          <w:szCs w:val="21"/>
        </w:rPr>
      </w:pPr>
      <w:r w:rsidRPr="006A4D4F">
        <w:rPr>
          <w:rFonts w:ascii="Roboto Light" w:hAnsi="Roboto Light" w:cs="Arial"/>
          <w:color w:val="202426"/>
          <w:sz w:val="21"/>
          <w:szCs w:val="21"/>
          <w:u w:val="single"/>
        </w:rPr>
        <w:t>The problem.</w:t>
      </w:r>
      <w:r w:rsidRPr="006A4D4F">
        <w:rPr>
          <w:rFonts w:ascii="Roboto Light" w:hAnsi="Roboto Light" w:cs="Arial"/>
          <w:color w:val="202426"/>
          <w:sz w:val="21"/>
          <w:szCs w:val="21"/>
        </w:rPr>
        <w:t xml:space="preserve"> </w:t>
      </w:r>
      <w:r w:rsidR="00DC5200" w:rsidRPr="006A4D4F">
        <w:rPr>
          <w:rFonts w:ascii="Roboto Light" w:hAnsi="Roboto Light" w:cs="Arial"/>
          <w:color w:val="202426"/>
          <w:sz w:val="21"/>
          <w:szCs w:val="21"/>
        </w:rPr>
        <w:t xml:space="preserve">Drugs for rare diseases are another area where a single price is a poor reflection of social goals. While payers attempt to direct innovation through the expression of a cost-effectiveness threshold, orphan drugs </w:t>
      </w:r>
      <w:r w:rsidR="00A131D6" w:rsidRPr="006A4D4F">
        <w:rPr>
          <w:rFonts w:ascii="Roboto Light" w:hAnsi="Roboto Light" w:cs="Arial"/>
          <w:color w:val="202426"/>
          <w:sz w:val="21"/>
          <w:szCs w:val="21"/>
        </w:rPr>
        <w:t xml:space="preserve">are </w:t>
      </w:r>
      <w:r w:rsidR="00DC5200" w:rsidRPr="006A4D4F">
        <w:rPr>
          <w:rFonts w:ascii="Roboto Light" w:hAnsi="Roboto Light" w:cs="Arial"/>
          <w:color w:val="202426"/>
          <w:sz w:val="21"/>
          <w:szCs w:val="21"/>
        </w:rPr>
        <w:t xml:space="preserve">typically priced far above such a threshold, effectively undermining its credibility. Moreover, the high price, even if agreed by the insurer, can impose a challenging burden and undesirable incentives on </w:t>
      </w:r>
      <w:r w:rsidRPr="006A4D4F">
        <w:rPr>
          <w:rFonts w:ascii="Roboto Light" w:hAnsi="Roboto Light" w:cs="Arial"/>
          <w:color w:val="202426"/>
          <w:sz w:val="21"/>
          <w:szCs w:val="21"/>
        </w:rPr>
        <w:t>local health authorities</w:t>
      </w:r>
      <w:r w:rsidR="00DC5200" w:rsidRPr="006A4D4F">
        <w:rPr>
          <w:rFonts w:ascii="Roboto Light" w:hAnsi="Roboto Light" w:cs="Arial"/>
          <w:color w:val="202426"/>
          <w:sz w:val="21"/>
          <w:szCs w:val="21"/>
        </w:rPr>
        <w:t xml:space="preserve">. </w:t>
      </w:r>
    </w:p>
    <w:p w14:paraId="4EF3305C" w14:textId="3E7EAE51" w:rsidR="00DC5200" w:rsidRPr="006A4D4F" w:rsidRDefault="00B41D1C" w:rsidP="00DC5200">
      <w:pPr>
        <w:rPr>
          <w:rFonts w:ascii="Roboto Light" w:hAnsi="Roboto Light" w:cs="Arial"/>
          <w:color w:val="202426"/>
          <w:sz w:val="21"/>
          <w:szCs w:val="21"/>
        </w:rPr>
      </w:pPr>
      <w:r w:rsidRPr="006A4D4F">
        <w:rPr>
          <w:rFonts w:ascii="Roboto Light" w:hAnsi="Roboto Light" w:cs="Arial"/>
          <w:color w:val="202426"/>
          <w:sz w:val="21"/>
          <w:szCs w:val="21"/>
          <w:u w:val="single"/>
        </w:rPr>
        <w:t>The ODRS as a solution.</w:t>
      </w:r>
      <w:r w:rsidRPr="006A4D4F">
        <w:rPr>
          <w:rFonts w:ascii="Roboto Light" w:hAnsi="Roboto Light" w:cs="Arial"/>
          <w:color w:val="202426"/>
          <w:sz w:val="21"/>
          <w:szCs w:val="21"/>
        </w:rPr>
        <w:t xml:space="preserve"> </w:t>
      </w:r>
      <w:r w:rsidR="00DC5200" w:rsidRPr="006A4D4F">
        <w:rPr>
          <w:rFonts w:ascii="Roboto Light" w:hAnsi="Roboto Light" w:cs="Arial"/>
          <w:color w:val="202426"/>
          <w:sz w:val="21"/>
          <w:szCs w:val="21"/>
        </w:rPr>
        <w:t xml:space="preserve">The </w:t>
      </w:r>
      <w:r w:rsidR="00DC5200" w:rsidRPr="006A4D4F">
        <w:rPr>
          <w:rFonts w:ascii="Roboto Medium" w:hAnsi="Roboto Medium" w:cs="Arial"/>
          <w:color w:val="202426"/>
          <w:sz w:val="21"/>
          <w:szCs w:val="21"/>
        </w:rPr>
        <w:t>flexibility</w:t>
      </w:r>
      <w:r w:rsidR="00DC5200" w:rsidRPr="006A4D4F">
        <w:rPr>
          <w:rFonts w:ascii="Roboto Light" w:hAnsi="Roboto Light" w:cs="Arial"/>
          <w:color w:val="202426"/>
          <w:sz w:val="21"/>
          <w:szCs w:val="21"/>
        </w:rPr>
        <w:t xml:space="preserve"> of a reward system with price divorced from the payment for innovation could help to resolve this situation. With a reward system strictly applying a payment per QALY, of course, many orphan drugs would never be competitive. However, the ODRS could allow drugs to earn supplementary rewards based on disease prevalence. For example, there could be a </w:t>
      </w:r>
      <w:r w:rsidR="008158DD" w:rsidRPr="006A4D4F">
        <w:rPr>
          <w:rFonts w:ascii="Roboto Light" w:hAnsi="Roboto Light" w:cs="Arial"/>
          <w:color w:val="202426"/>
          <w:sz w:val="21"/>
          <w:szCs w:val="21"/>
        </w:rPr>
        <w:t>modifier</w:t>
      </w:r>
      <w:r w:rsidR="00DC5200" w:rsidRPr="006A4D4F">
        <w:rPr>
          <w:rFonts w:ascii="Roboto Light" w:hAnsi="Roboto Light" w:cs="Arial"/>
          <w:color w:val="202426"/>
          <w:sz w:val="21"/>
          <w:szCs w:val="21"/>
        </w:rPr>
        <w:t xml:space="preserve"> of 2x for diseases with prevalence below 1 in 10,000, and 5x for diseases with prevalence below 1 in 50,000. That would (partially) even up the rewards for diseases with differing prevalence and would provide </w:t>
      </w:r>
      <w:r w:rsidR="00DC5200" w:rsidRPr="006A4D4F">
        <w:rPr>
          <w:rFonts w:ascii="Roboto Medium" w:hAnsi="Roboto Medium" w:cs="Arial"/>
          <w:color w:val="202426"/>
          <w:sz w:val="21"/>
          <w:szCs w:val="21"/>
        </w:rPr>
        <w:t>clarity for investors</w:t>
      </w:r>
      <w:r w:rsidR="00DC5200" w:rsidRPr="006A4D4F">
        <w:rPr>
          <w:rFonts w:ascii="Roboto Light" w:hAnsi="Roboto Light" w:cs="Arial"/>
          <w:color w:val="202426"/>
          <w:sz w:val="21"/>
          <w:szCs w:val="21"/>
        </w:rPr>
        <w:t xml:space="preserve">. </w:t>
      </w:r>
      <w:r w:rsidR="008158DD" w:rsidRPr="006A4D4F">
        <w:rPr>
          <w:rFonts w:ascii="Roboto Light" w:hAnsi="Roboto Light" w:cs="Arial"/>
          <w:color w:val="202426"/>
          <w:sz w:val="21"/>
          <w:szCs w:val="21"/>
        </w:rPr>
        <w:t>The implementation of modifiers is discussed in Section 4 below.</w:t>
      </w:r>
    </w:p>
    <w:p w14:paraId="40C0F2B8" w14:textId="77777777" w:rsidR="00DC5200" w:rsidRPr="006A4D4F" w:rsidRDefault="00DC5200" w:rsidP="00571B9E">
      <w:pPr>
        <w:pStyle w:val="Heading2"/>
        <w:rPr>
          <w:rFonts w:ascii="Roboto" w:hAnsi="Roboto"/>
          <w:b w:val="0"/>
          <w:bCs w:val="0"/>
          <w:caps/>
        </w:rPr>
      </w:pPr>
      <w:r w:rsidRPr="006A4D4F">
        <w:rPr>
          <w:rFonts w:ascii="Roboto" w:hAnsi="Roboto"/>
          <w:b w:val="0"/>
          <w:bCs w:val="0"/>
          <w:caps/>
        </w:rPr>
        <w:t>3.8 The ODRS can support efficient promotion</w:t>
      </w:r>
    </w:p>
    <w:p w14:paraId="35A9D74D" w14:textId="4606FE12" w:rsidR="00B41D1C" w:rsidRPr="006A4D4F" w:rsidRDefault="00B41D1C" w:rsidP="00DC5200">
      <w:pPr>
        <w:rPr>
          <w:rFonts w:ascii="Roboto Light" w:hAnsi="Roboto Light" w:cs="Arial"/>
          <w:color w:val="202426"/>
          <w:sz w:val="21"/>
          <w:szCs w:val="21"/>
        </w:rPr>
      </w:pPr>
      <w:r w:rsidRPr="006A4D4F">
        <w:rPr>
          <w:rFonts w:ascii="Roboto Light" w:hAnsi="Roboto Light" w:cs="Arial"/>
          <w:color w:val="202426"/>
          <w:sz w:val="21"/>
          <w:szCs w:val="21"/>
          <w:u w:val="single"/>
        </w:rPr>
        <w:t>The problem.</w:t>
      </w:r>
      <w:r w:rsidRPr="006A4D4F">
        <w:rPr>
          <w:rFonts w:ascii="Roboto Light" w:hAnsi="Roboto Light" w:cs="Arial"/>
          <w:color w:val="202426"/>
          <w:sz w:val="21"/>
          <w:szCs w:val="21"/>
        </w:rPr>
        <w:t xml:space="preserve"> </w:t>
      </w:r>
      <w:r w:rsidR="00A131D6" w:rsidRPr="006A4D4F">
        <w:rPr>
          <w:rFonts w:ascii="Roboto Light" w:hAnsi="Roboto Light" w:cs="Arial"/>
          <w:color w:val="202426"/>
          <w:sz w:val="21"/>
          <w:szCs w:val="21"/>
        </w:rPr>
        <w:t xml:space="preserve">Promotion is an important part of our pharmaceutical delivery system since it is often needed as a tool for prescriber and patient education.  Nevertheless, there is widespread criticism of firms for engaging in promotion, since it is sometimes perceived as wasteful or, even worse, </w:t>
      </w:r>
      <w:r w:rsidR="009C1A14" w:rsidRPr="006A4D4F">
        <w:rPr>
          <w:rFonts w:ascii="Roboto Light" w:hAnsi="Roboto Light" w:cs="Arial"/>
          <w:color w:val="202426"/>
          <w:sz w:val="21"/>
          <w:szCs w:val="21"/>
        </w:rPr>
        <w:t xml:space="preserve">likely to lead to </w:t>
      </w:r>
      <w:r w:rsidRPr="006A4D4F">
        <w:rPr>
          <w:rFonts w:ascii="Roboto Light" w:hAnsi="Roboto Light" w:cs="Arial"/>
          <w:color w:val="202426"/>
          <w:sz w:val="21"/>
          <w:szCs w:val="21"/>
        </w:rPr>
        <w:t xml:space="preserve">heavy use of a product by patients who obtain little or no benefit. </w:t>
      </w:r>
    </w:p>
    <w:p w14:paraId="5E88EC3E" w14:textId="67EE097E" w:rsidR="00FF2D59" w:rsidRPr="006A4D4F" w:rsidRDefault="00745603" w:rsidP="00FF2D59">
      <w:pPr>
        <w:rPr>
          <w:rFonts w:ascii="Roboto Light" w:hAnsi="Roboto Light" w:cs="Arial"/>
          <w:color w:val="202426"/>
          <w:sz w:val="21"/>
          <w:szCs w:val="21"/>
        </w:rPr>
      </w:pPr>
      <w:r w:rsidRPr="006A4D4F">
        <w:rPr>
          <w:rFonts w:ascii="Roboto Light" w:hAnsi="Roboto Light" w:cs="Arial"/>
          <w:color w:val="202426"/>
          <w:sz w:val="21"/>
          <w:szCs w:val="21"/>
          <w:u w:val="single"/>
        </w:rPr>
        <w:t>The ODRS as a solution.</w:t>
      </w:r>
      <w:r w:rsidRPr="006A4D4F">
        <w:rPr>
          <w:rFonts w:ascii="Roboto Light" w:hAnsi="Roboto Light" w:cs="Arial"/>
          <w:color w:val="202426"/>
          <w:sz w:val="21"/>
          <w:szCs w:val="21"/>
        </w:rPr>
        <w:t xml:space="preserve"> T</w:t>
      </w:r>
      <w:r w:rsidR="00DC5200" w:rsidRPr="006A4D4F">
        <w:rPr>
          <w:rFonts w:ascii="Roboto Light" w:hAnsi="Roboto Light" w:cs="Arial"/>
          <w:color w:val="202426"/>
          <w:sz w:val="21"/>
          <w:szCs w:val="21"/>
        </w:rPr>
        <w:t xml:space="preserve">he ODRS </w:t>
      </w:r>
      <w:r w:rsidRPr="006A4D4F">
        <w:rPr>
          <w:rFonts w:ascii="Roboto Light" w:hAnsi="Roboto Light" w:cs="Arial"/>
          <w:color w:val="202426"/>
          <w:sz w:val="21"/>
          <w:szCs w:val="21"/>
        </w:rPr>
        <w:t xml:space="preserve">would </w:t>
      </w:r>
      <w:r w:rsidR="00DC5200" w:rsidRPr="006A4D4F">
        <w:rPr>
          <w:rFonts w:ascii="Roboto Light" w:hAnsi="Roboto Light" w:cs="Arial"/>
          <w:color w:val="202426"/>
          <w:sz w:val="21"/>
          <w:szCs w:val="21"/>
        </w:rPr>
        <w:t xml:space="preserve">provide efficient incentives for promotional investment by firms. If the amount paid to the firm under the ODRS is strictly related to the health benefits, then the firm will have incentives to maximize the health benefits. </w:t>
      </w:r>
      <w:r w:rsidRPr="006A4D4F">
        <w:rPr>
          <w:rFonts w:ascii="Roboto Light" w:hAnsi="Roboto Light" w:cs="Arial"/>
          <w:color w:val="202426"/>
          <w:sz w:val="21"/>
          <w:szCs w:val="21"/>
        </w:rPr>
        <w:t>U</w:t>
      </w:r>
      <w:r w:rsidR="00DC5200" w:rsidRPr="006A4D4F">
        <w:rPr>
          <w:rFonts w:ascii="Roboto Light" w:hAnsi="Roboto Light" w:cs="Arial"/>
          <w:color w:val="202426"/>
          <w:sz w:val="21"/>
          <w:szCs w:val="21"/>
        </w:rPr>
        <w:t xml:space="preserve">nder the ODRS, the firm has no incentives to promote the product to patients who would systematically be expected to receive little or no benefit. </w:t>
      </w:r>
      <w:r w:rsidR="009C1A14" w:rsidRPr="006A4D4F">
        <w:rPr>
          <w:rFonts w:ascii="Roboto Light" w:hAnsi="Roboto Light" w:cs="Arial"/>
          <w:color w:val="202426"/>
          <w:sz w:val="21"/>
          <w:szCs w:val="21"/>
        </w:rPr>
        <w:t>I</w:t>
      </w:r>
      <w:r w:rsidR="00DC5200" w:rsidRPr="006A4D4F">
        <w:rPr>
          <w:rFonts w:ascii="Roboto Light" w:hAnsi="Roboto Light" w:cs="Arial"/>
          <w:color w:val="202426"/>
          <w:sz w:val="21"/>
          <w:szCs w:val="21"/>
        </w:rPr>
        <w:t>f there is only a single price for the product regardless of the indication in which it is used, the firm would have the same incentives to promote it in all indications; in contrast, as described above, under the ODRS the firm would be more highly rewarded for higher</w:t>
      </w:r>
      <w:r w:rsidRPr="006A4D4F">
        <w:rPr>
          <w:rFonts w:ascii="Roboto Light" w:hAnsi="Roboto Light" w:cs="Arial"/>
          <w:color w:val="202426"/>
          <w:sz w:val="21"/>
          <w:szCs w:val="21"/>
        </w:rPr>
        <w:t xml:space="preserve"> </w:t>
      </w:r>
      <w:r w:rsidR="00DC5200" w:rsidRPr="006A4D4F">
        <w:rPr>
          <w:rFonts w:ascii="Roboto Light" w:hAnsi="Roboto Light" w:cs="Arial"/>
          <w:color w:val="202426"/>
          <w:sz w:val="21"/>
          <w:szCs w:val="21"/>
        </w:rPr>
        <w:t xml:space="preserve">value uses, leading to better targeting of promotional activities. </w:t>
      </w:r>
    </w:p>
    <w:p w14:paraId="45DBED40" w14:textId="77777777" w:rsidR="00FF2D59" w:rsidRPr="00382EEF" w:rsidRDefault="00F02D43" w:rsidP="006A4D4F">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 xml:space="preserve">4. </w:t>
      </w:r>
      <w:r w:rsidR="00FF2D59" w:rsidRPr="00382EEF">
        <w:rPr>
          <w:rFonts w:ascii="Roboto" w:hAnsi="Roboto"/>
          <w:b w:val="0"/>
          <w:bCs w:val="0"/>
          <w:caps/>
          <w:color w:val="EB2E3D"/>
          <w:sz w:val="26"/>
          <w:szCs w:val="26"/>
          <w:u w:val="none"/>
        </w:rPr>
        <w:t>Implementation details</w:t>
      </w:r>
    </w:p>
    <w:p w14:paraId="1A81AF24" w14:textId="77777777" w:rsidR="00745603" w:rsidRPr="00A911BB" w:rsidRDefault="00745603" w:rsidP="00FF2D59">
      <w:pPr>
        <w:rPr>
          <w:rFonts w:ascii="Roboto Light" w:hAnsi="Roboto Light" w:cs="Arial"/>
          <w:color w:val="202426"/>
          <w:sz w:val="21"/>
          <w:szCs w:val="21"/>
        </w:rPr>
      </w:pPr>
      <w:r w:rsidRPr="00A911BB">
        <w:rPr>
          <w:rFonts w:ascii="Roboto Light" w:hAnsi="Roboto Light" w:cs="Arial"/>
          <w:color w:val="202426"/>
          <w:sz w:val="21"/>
          <w:szCs w:val="21"/>
        </w:rPr>
        <w:t xml:space="preserve">This section provides additional information about implementation of the ODRS. </w:t>
      </w:r>
    </w:p>
    <w:p w14:paraId="2AB53756" w14:textId="77777777"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4.1 </w:t>
      </w:r>
      <w:r w:rsidR="00060B47" w:rsidRPr="00A911BB">
        <w:rPr>
          <w:rFonts w:ascii="Roboto" w:hAnsi="Roboto"/>
          <w:b w:val="0"/>
          <w:bCs w:val="0"/>
          <w:caps/>
        </w:rPr>
        <w:t xml:space="preserve">Timing </w:t>
      </w:r>
    </w:p>
    <w:p w14:paraId="21298B37" w14:textId="72E653AA"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lastRenderedPageBreak/>
        <w:t xml:space="preserve">The ODRS would be optional for patentees following the granting of market authorization: the firm could choose to proceed through the normal HTA processes or </w:t>
      </w:r>
      <w:r w:rsidR="00F61F0B" w:rsidRPr="00A911BB">
        <w:rPr>
          <w:rFonts w:ascii="Roboto Light" w:hAnsi="Roboto Light" w:cs="Arial"/>
          <w:color w:val="202426"/>
          <w:sz w:val="21"/>
          <w:szCs w:val="21"/>
        </w:rPr>
        <w:t xml:space="preserve">to make </w:t>
      </w:r>
      <w:r w:rsidR="009C1A14" w:rsidRPr="00A911BB">
        <w:rPr>
          <w:rFonts w:ascii="Roboto Light" w:hAnsi="Roboto Light" w:cs="Arial"/>
          <w:color w:val="202426"/>
          <w:sz w:val="21"/>
          <w:szCs w:val="21"/>
        </w:rPr>
        <w:t>the product</w:t>
      </w:r>
      <w:r w:rsidRPr="00A911BB">
        <w:rPr>
          <w:rFonts w:ascii="Roboto Light" w:hAnsi="Roboto Light" w:cs="Arial"/>
          <w:color w:val="202426"/>
          <w:sz w:val="21"/>
          <w:szCs w:val="21"/>
        </w:rPr>
        <w:t xml:space="preserve"> available under the ODRS. Firms would normally </w:t>
      </w:r>
      <w:r w:rsidR="00745603" w:rsidRPr="00A911BB">
        <w:rPr>
          <w:rFonts w:ascii="Roboto Light" w:hAnsi="Roboto Light" w:cs="Arial"/>
          <w:color w:val="202426"/>
          <w:sz w:val="21"/>
          <w:szCs w:val="21"/>
        </w:rPr>
        <w:t>seek</w:t>
      </w:r>
      <w:r w:rsidRPr="00A911BB">
        <w:rPr>
          <w:rFonts w:ascii="Roboto Light" w:hAnsi="Roboto Light" w:cs="Arial"/>
          <w:color w:val="202426"/>
          <w:sz w:val="21"/>
          <w:szCs w:val="21"/>
        </w:rPr>
        <w:t xml:space="preserve"> a prior understanding with the ODRS administration about how the product’s health benefits would be evaluated, so that they could </w:t>
      </w:r>
      <w:r w:rsidR="009C1A14" w:rsidRPr="00A911BB">
        <w:rPr>
          <w:rFonts w:ascii="Roboto Light" w:hAnsi="Roboto Light" w:cs="Arial"/>
          <w:color w:val="202426"/>
          <w:sz w:val="21"/>
          <w:szCs w:val="21"/>
        </w:rPr>
        <w:t>decide</w:t>
      </w:r>
      <w:r w:rsidRPr="00A911BB">
        <w:rPr>
          <w:rFonts w:ascii="Roboto Light" w:hAnsi="Roboto Light" w:cs="Arial"/>
          <w:color w:val="202426"/>
          <w:sz w:val="21"/>
          <w:szCs w:val="21"/>
        </w:rPr>
        <w:t xml:space="preserve"> whether to choose that route. (In the alternative, the firm would be planning its submission for the HTA process.) If the ODRS were chosen, the firm would be required to set a price reflecting the costs of production and distribution only. (Getting this exactly right is not important as the revenues from sales would be deducted from the reward payment.) The low price would usually lead to an abbreviated process for determination of inclusion on insurance formularies. The firm would market</w:t>
      </w:r>
      <w:r w:rsidR="00745603" w:rsidRPr="00A911BB">
        <w:rPr>
          <w:rFonts w:ascii="Roboto Light" w:hAnsi="Roboto Light" w:cs="Arial"/>
          <w:color w:val="202426"/>
          <w:sz w:val="21"/>
          <w:szCs w:val="21"/>
        </w:rPr>
        <w:t xml:space="preserve"> and promote</w:t>
      </w:r>
      <w:r w:rsidRPr="00A911BB">
        <w:rPr>
          <w:rFonts w:ascii="Roboto Light" w:hAnsi="Roboto Light" w:cs="Arial"/>
          <w:color w:val="202426"/>
          <w:sz w:val="21"/>
          <w:szCs w:val="21"/>
        </w:rPr>
        <w:t xml:space="preserve"> its product in the </w:t>
      </w:r>
      <w:r w:rsidR="00CD2319" w:rsidRPr="00A911BB">
        <w:rPr>
          <w:rFonts w:ascii="Roboto Light" w:hAnsi="Roboto Light" w:cs="Arial"/>
          <w:color w:val="202426"/>
          <w:sz w:val="21"/>
          <w:szCs w:val="21"/>
        </w:rPr>
        <w:t>usual</w:t>
      </w:r>
      <w:r w:rsidRPr="00A911BB">
        <w:rPr>
          <w:rFonts w:ascii="Roboto Light" w:hAnsi="Roboto Light" w:cs="Arial"/>
          <w:color w:val="202426"/>
          <w:sz w:val="21"/>
          <w:szCs w:val="21"/>
        </w:rPr>
        <w:t xml:space="preserve"> way. </w:t>
      </w:r>
      <w:r w:rsidR="006275EA" w:rsidRPr="00A911BB">
        <w:rPr>
          <w:rFonts w:ascii="Roboto Light" w:hAnsi="Roboto Light" w:cs="Arial"/>
          <w:color w:val="202426"/>
          <w:sz w:val="21"/>
          <w:szCs w:val="21"/>
        </w:rPr>
        <w:t>The reward payments would be made annually for the first 10 years after the product (or new indication) was introduced</w:t>
      </w:r>
      <w:r w:rsidR="009C1A14" w:rsidRPr="00A911BB">
        <w:rPr>
          <w:rFonts w:ascii="Roboto Light" w:hAnsi="Roboto Light" w:cs="Arial"/>
          <w:color w:val="202426"/>
          <w:sz w:val="21"/>
          <w:szCs w:val="21"/>
        </w:rPr>
        <w:t xml:space="preserve"> based on estimated incremental health benefits and costs each year</w:t>
      </w:r>
      <w:r w:rsidR="006275EA" w:rsidRPr="00A911BB">
        <w:rPr>
          <w:rFonts w:ascii="Roboto Light" w:hAnsi="Roboto Light" w:cs="Arial"/>
          <w:color w:val="202426"/>
          <w:sz w:val="21"/>
          <w:szCs w:val="21"/>
        </w:rPr>
        <w:t>.</w:t>
      </w:r>
    </w:p>
    <w:p w14:paraId="0D2F79B1" w14:textId="77777777"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4.2 </w:t>
      </w:r>
      <w:r w:rsidR="00060B47" w:rsidRPr="00A911BB">
        <w:rPr>
          <w:rFonts w:ascii="Roboto" w:hAnsi="Roboto"/>
          <w:b w:val="0"/>
          <w:bCs w:val="0"/>
          <w:caps/>
        </w:rPr>
        <w:t>Sales price</w:t>
      </w:r>
    </w:p>
    <w:p w14:paraId="51CE8416" w14:textId="1A5399A8"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The sales revenues should be deducted from the net reward paid to the innovator. This means that the cost per QALY would be independent of the sale price. Notably, this would make the supplier indifferent to the sale</w:t>
      </w:r>
      <w:r w:rsidR="00F61F0B" w:rsidRPr="00A911BB">
        <w:rPr>
          <w:rFonts w:ascii="Roboto Light" w:hAnsi="Roboto Light" w:cs="Arial"/>
          <w:color w:val="202426"/>
          <w:sz w:val="21"/>
          <w:szCs w:val="21"/>
        </w:rPr>
        <w:t>s</w:t>
      </w:r>
      <w:r w:rsidRPr="00A911BB">
        <w:rPr>
          <w:rFonts w:ascii="Roboto Light" w:hAnsi="Roboto Light" w:cs="Arial"/>
          <w:color w:val="202426"/>
          <w:sz w:val="21"/>
          <w:szCs w:val="21"/>
        </w:rPr>
        <w:t xml:space="preserve"> price, except </w:t>
      </w:r>
      <w:r w:rsidR="00CD2319" w:rsidRPr="00A911BB">
        <w:rPr>
          <w:rFonts w:ascii="Roboto Light" w:hAnsi="Roboto Light" w:cs="Arial"/>
          <w:color w:val="202426"/>
          <w:sz w:val="21"/>
          <w:szCs w:val="21"/>
        </w:rPr>
        <w:t xml:space="preserve">for its possible </w:t>
      </w:r>
      <w:r w:rsidRPr="00A911BB">
        <w:rPr>
          <w:rFonts w:ascii="Roboto Light" w:hAnsi="Roboto Light" w:cs="Arial"/>
          <w:color w:val="202426"/>
          <w:sz w:val="21"/>
          <w:szCs w:val="21"/>
        </w:rPr>
        <w:t>influence</w:t>
      </w:r>
      <w:r w:rsidR="00CD2319" w:rsidRPr="00A911BB">
        <w:rPr>
          <w:rFonts w:ascii="Roboto Light" w:hAnsi="Roboto Light" w:cs="Arial"/>
          <w:color w:val="202426"/>
          <w:sz w:val="21"/>
          <w:szCs w:val="21"/>
        </w:rPr>
        <w:t xml:space="preserve"> on</w:t>
      </w:r>
      <w:r w:rsidRPr="00A911BB">
        <w:rPr>
          <w:rFonts w:ascii="Roboto Light" w:hAnsi="Roboto Light" w:cs="Arial"/>
          <w:color w:val="202426"/>
          <w:sz w:val="21"/>
          <w:szCs w:val="21"/>
        </w:rPr>
        <w:t xml:space="preserve"> the volume of sales. That is, firms would have no incentive to seek a high sales price; if they did, it would not increase their total revenues. This would make it easier to set a price that would give prescribers, hospital and patients incentives perfectly aligned with the goal of optimising therapy. </w:t>
      </w:r>
    </w:p>
    <w:p w14:paraId="7B6CA815" w14:textId="1D38087A"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4.3 </w:t>
      </w:r>
      <w:r w:rsidR="00060B47" w:rsidRPr="00A911BB">
        <w:rPr>
          <w:rFonts w:ascii="Roboto" w:hAnsi="Roboto"/>
          <w:b w:val="0"/>
          <w:bCs w:val="0"/>
          <w:caps/>
        </w:rPr>
        <w:t>Health benefit evaluation</w:t>
      </w:r>
    </w:p>
    <w:p w14:paraId="7AAE284A" w14:textId="48273699"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Evaluation of the health benefits would </w:t>
      </w:r>
      <w:r w:rsidR="006275EA" w:rsidRPr="00A911BB">
        <w:rPr>
          <w:rFonts w:ascii="Roboto Light" w:hAnsi="Roboto Light" w:cs="Arial"/>
          <w:color w:val="202426"/>
          <w:sz w:val="21"/>
          <w:szCs w:val="21"/>
        </w:rPr>
        <w:t xml:space="preserve">be performed </w:t>
      </w:r>
      <w:r w:rsidRPr="00A911BB">
        <w:rPr>
          <w:rFonts w:ascii="Roboto Light" w:hAnsi="Roboto Light" w:cs="Arial"/>
          <w:color w:val="202426"/>
          <w:sz w:val="21"/>
          <w:szCs w:val="21"/>
        </w:rPr>
        <w:t>on an annual basis and would be based on the same data as would have been required in any HTA process, as well as the volume of sales</w:t>
      </w:r>
      <w:r w:rsidR="006275EA" w:rsidRPr="00A911BB">
        <w:rPr>
          <w:rFonts w:ascii="Roboto Light" w:hAnsi="Roboto Light" w:cs="Arial"/>
          <w:color w:val="202426"/>
          <w:sz w:val="21"/>
          <w:szCs w:val="21"/>
        </w:rPr>
        <w:t xml:space="preserve"> that year</w:t>
      </w:r>
      <w:r w:rsidRPr="00A911BB">
        <w:rPr>
          <w:rFonts w:ascii="Roboto Light" w:hAnsi="Roboto Light" w:cs="Arial"/>
          <w:color w:val="202426"/>
          <w:sz w:val="21"/>
          <w:szCs w:val="21"/>
        </w:rPr>
        <w:t xml:space="preserve"> in each indication, and, where relevant and available, other patient demographic data.</w:t>
      </w:r>
      <w:r w:rsidR="00745603" w:rsidRPr="00A911BB">
        <w:rPr>
          <w:rFonts w:ascii="Roboto Light" w:hAnsi="Roboto Light" w:cs="Arial"/>
          <w:color w:val="202426"/>
          <w:sz w:val="21"/>
          <w:szCs w:val="21"/>
        </w:rPr>
        <w:t xml:space="preserve"> (For example, there might be known or predictable differences in outcomes when used in patients aged over 90 compared to those in the clinical trials.)</w:t>
      </w:r>
      <w:r w:rsidRPr="00A911BB">
        <w:rPr>
          <w:rFonts w:ascii="Roboto Light" w:hAnsi="Roboto Light" w:cs="Arial"/>
          <w:color w:val="202426"/>
          <w:sz w:val="21"/>
          <w:szCs w:val="21"/>
        </w:rPr>
        <w:t xml:space="preserve"> </w:t>
      </w:r>
      <w:r w:rsidR="009C1A14" w:rsidRPr="00A911BB">
        <w:rPr>
          <w:rFonts w:ascii="Roboto Light" w:hAnsi="Roboto Light" w:cs="Arial"/>
          <w:color w:val="202426"/>
          <w:sz w:val="21"/>
          <w:szCs w:val="21"/>
        </w:rPr>
        <w:t>Where post-approval clinical trials are mandated by the regulatory authority, this data could also be incorporated into annual asses</w:t>
      </w:r>
      <w:r w:rsidR="00B94A8B" w:rsidRPr="00A911BB">
        <w:rPr>
          <w:rFonts w:ascii="Roboto Light" w:hAnsi="Roboto Light" w:cs="Arial"/>
          <w:color w:val="202426"/>
          <w:sz w:val="21"/>
          <w:szCs w:val="21"/>
        </w:rPr>
        <w:t>s</w:t>
      </w:r>
      <w:r w:rsidR="009C1A14" w:rsidRPr="00A911BB">
        <w:rPr>
          <w:rFonts w:ascii="Roboto Light" w:hAnsi="Roboto Light" w:cs="Arial"/>
          <w:color w:val="202426"/>
          <w:sz w:val="21"/>
          <w:szCs w:val="21"/>
        </w:rPr>
        <w:t xml:space="preserve">ments. </w:t>
      </w:r>
      <w:r w:rsidRPr="00A911BB">
        <w:rPr>
          <w:rFonts w:ascii="Roboto Light" w:hAnsi="Roboto Light" w:cs="Arial"/>
          <w:color w:val="202426"/>
          <w:sz w:val="21"/>
          <w:szCs w:val="21"/>
        </w:rPr>
        <w:t xml:space="preserve">Notably, therefore, the kinds of data that are required are not substantially more onerous than is required for an HTA evaluation. Data on indications and patient demographics are increasingly available through existing administrative data systems. </w:t>
      </w:r>
    </w:p>
    <w:p w14:paraId="19EA3830" w14:textId="10B4A2B9" w:rsidR="008158DD" w:rsidRPr="00A911BB" w:rsidRDefault="0060144C" w:rsidP="00FF2D59">
      <w:pPr>
        <w:rPr>
          <w:rFonts w:ascii="Roboto Light" w:hAnsi="Roboto Light" w:cs="Arial"/>
          <w:color w:val="202426"/>
          <w:sz w:val="21"/>
          <w:szCs w:val="21"/>
        </w:rPr>
      </w:pPr>
      <w:r w:rsidRPr="00A911BB">
        <w:rPr>
          <w:rFonts w:ascii="Roboto Light" w:hAnsi="Roboto Light" w:cs="Arial"/>
          <w:color w:val="202426"/>
          <w:sz w:val="21"/>
          <w:szCs w:val="21"/>
        </w:rPr>
        <w:t xml:space="preserve">The ODRS would reward based on </w:t>
      </w:r>
      <w:r w:rsidR="00147A6D" w:rsidRPr="00A911BB">
        <w:rPr>
          <w:rFonts w:ascii="Roboto Light" w:hAnsi="Roboto Light" w:cs="Arial"/>
          <w:color w:val="202426"/>
          <w:sz w:val="21"/>
          <w:szCs w:val="21"/>
        </w:rPr>
        <w:t>incremental health benefits over the standard of care.</w:t>
      </w:r>
      <w:r w:rsidRPr="00A911BB">
        <w:rPr>
          <w:rFonts w:ascii="Roboto Light" w:hAnsi="Roboto Light" w:cs="Arial"/>
          <w:color w:val="202426"/>
          <w:sz w:val="21"/>
          <w:szCs w:val="21"/>
        </w:rPr>
        <w:t xml:space="preserve"> </w:t>
      </w:r>
      <w:r w:rsidR="008158DD" w:rsidRPr="00A911BB">
        <w:rPr>
          <w:rFonts w:ascii="Roboto Light" w:hAnsi="Roboto Light" w:cs="Arial"/>
          <w:color w:val="202426"/>
          <w:sz w:val="21"/>
          <w:szCs w:val="21"/>
        </w:rPr>
        <w:t xml:space="preserve">The most plausible measure of health benefit is </w:t>
      </w:r>
      <w:r w:rsidR="006C5510" w:rsidRPr="00A911BB">
        <w:rPr>
          <w:rFonts w:ascii="Roboto Light" w:hAnsi="Roboto Light" w:cs="Arial"/>
          <w:color w:val="202426"/>
          <w:sz w:val="21"/>
          <w:szCs w:val="21"/>
        </w:rPr>
        <w:t>the QALY</w:t>
      </w:r>
      <w:r w:rsidR="008158DD" w:rsidRPr="00A911BB">
        <w:rPr>
          <w:rFonts w:ascii="Roboto Light" w:hAnsi="Roboto Light" w:cs="Arial"/>
          <w:color w:val="202426"/>
          <w:sz w:val="21"/>
          <w:szCs w:val="21"/>
        </w:rPr>
        <w:t xml:space="preserve">, as </w:t>
      </w:r>
      <w:r w:rsidR="006C5510" w:rsidRPr="00A911BB">
        <w:rPr>
          <w:rFonts w:ascii="Roboto Light" w:hAnsi="Roboto Light" w:cs="Arial"/>
          <w:color w:val="202426"/>
          <w:sz w:val="21"/>
          <w:szCs w:val="21"/>
        </w:rPr>
        <w:t>it</w:t>
      </w:r>
      <w:r w:rsidR="008158DD" w:rsidRPr="00A911BB">
        <w:rPr>
          <w:rFonts w:ascii="Roboto Light" w:hAnsi="Roboto Light" w:cs="Arial"/>
          <w:color w:val="202426"/>
          <w:sz w:val="21"/>
          <w:szCs w:val="21"/>
        </w:rPr>
        <w:t xml:space="preserve"> </w:t>
      </w:r>
      <w:r w:rsidR="009C1A14" w:rsidRPr="00A911BB">
        <w:rPr>
          <w:rFonts w:ascii="Roboto Light" w:hAnsi="Roboto Light" w:cs="Arial"/>
          <w:color w:val="202426"/>
          <w:sz w:val="21"/>
          <w:szCs w:val="21"/>
        </w:rPr>
        <w:t>has</w:t>
      </w:r>
      <w:r w:rsidR="008158DD" w:rsidRPr="00A911BB">
        <w:rPr>
          <w:rFonts w:ascii="Roboto Light" w:hAnsi="Roboto Light" w:cs="Arial"/>
          <w:color w:val="202426"/>
          <w:sz w:val="21"/>
          <w:szCs w:val="21"/>
        </w:rPr>
        <w:t xml:space="preserve"> been most extensively used in practice. The weaknesses of QALYs are well known, and it would be important to allow for disease-specific measures that could be integrated with generic QALYs. Recognizing that QALY measures function poorly in many cases,</w:t>
      </w:r>
      <w:r w:rsidR="00060B47" w:rsidRPr="00A911BB">
        <w:rPr>
          <w:rFonts w:ascii="Roboto Light" w:hAnsi="Roboto Light" w:cs="Arial"/>
          <w:color w:val="202426"/>
          <w:sz w:val="21"/>
          <w:szCs w:val="21"/>
        </w:rPr>
        <w:t xml:space="preserve"> the ODRS is not intended to be a universal tool, but an optional one. Thus, when the QALY would perform poorly </w:t>
      </w:r>
      <w:r w:rsidR="0053776D" w:rsidRPr="00A911BB">
        <w:rPr>
          <w:rFonts w:ascii="Roboto Light" w:hAnsi="Roboto Light" w:cs="Arial"/>
          <w:color w:val="202426"/>
          <w:sz w:val="21"/>
          <w:szCs w:val="21"/>
        </w:rPr>
        <w:t>in measuring the benefit attributable to</w:t>
      </w:r>
      <w:r w:rsidR="00060B47" w:rsidRPr="00A911BB">
        <w:rPr>
          <w:rFonts w:ascii="Roboto Light" w:hAnsi="Roboto Light" w:cs="Arial"/>
          <w:color w:val="202426"/>
          <w:sz w:val="21"/>
          <w:szCs w:val="21"/>
        </w:rPr>
        <w:t xml:space="preserve"> a specific drug or even in a class of therapies, the ODRS need not be used. Similarly, it is recognized that for many drugs, there are supplementary benefits, such as patient convenience that are poorly captured by QALY measures, and so the ODRS might not be suitable. This makes </w:t>
      </w:r>
      <w:r w:rsidR="009C1A14" w:rsidRPr="00A911BB">
        <w:rPr>
          <w:rFonts w:ascii="Roboto Light" w:hAnsi="Roboto Light" w:cs="Arial"/>
          <w:i/>
          <w:iCs/>
          <w:color w:val="202426"/>
          <w:sz w:val="21"/>
          <w:szCs w:val="21"/>
        </w:rPr>
        <w:t>optionality</w:t>
      </w:r>
      <w:r w:rsidR="009C1A14" w:rsidRPr="00A911BB">
        <w:rPr>
          <w:rFonts w:ascii="Roboto Light" w:hAnsi="Roboto Light" w:cs="Arial"/>
          <w:color w:val="202426"/>
          <w:sz w:val="21"/>
          <w:szCs w:val="21"/>
        </w:rPr>
        <w:t xml:space="preserve"> an essential</w:t>
      </w:r>
      <w:r w:rsidR="00060B47" w:rsidRPr="00A911BB">
        <w:rPr>
          <w:rFonts w:ascii="Roboto Light" w:hAnsi="Roboto Light" w:cs="Arial"/>
          <w:color w:val="202426"/>
          <w:sz w:val="21"/>
          <w:szCs w:val="21"/>
        </w:rPr>
        <w:t xml:space="preserve"> design feature. </w:t>
      </w:r>
    </w:p>
    <w:p w14:paraId="17E9DFAD" w14:textId="58EE97F3"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4.4 </w:t>
      </w:r>
      <w:r w:rsidR="00060B47" w:rsidRPr="00A911BB">
        <w:rPr>
          <w:rFonts w:ascii="Roboto" w:hAnsi="Roboto"/>
          <w:b w:val="0"/>
          <w:bCs w:val="0"/>
          <w:caps/>
        </w:rPr>
        <w:t>Administration</w:t>
      </w:r>
      <w:r w:rsidRPr="00A911BB">
        <w:rPr>
          <w:rFonts w:ascii="Roboto" w:hAnsi="Roboto"/>
          <w:b w:val="0"/>
          <w:bCs w:val="0"/>
          <w:caps/>
        </w:rPr>
        <w:t xml:space="preserve"> </w:t>
      </w:r>
    </w:p>
    <w:p w14:paraId="064C9918" w14:textId="690FA2EA"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lastRenderedPageBreak/>
        <w:t xml:space="preserve">The ODRS administrator could be a component of a national health system, department of health, or the default insurer in a country, depending on the structure of the existing market. The net administrative costs would be small if insurance through the ODRS replaced insurance by other organizations for some drugs. </w:t>
      </w:r>
    </w:p>
    <w:p w14:paraId="25EB3249" w14:textId="690A11FC"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4.5 </w:t>
      </w:r>
      <w:r w:rsidR="00060B47" w:rsidRPr="00A911BB">
        <w:rPr>
          <w:rFonts w:ascii="Roboto" w:hAnsi="Roboto"/>
          <w:b w:val="0"/>
          <w:bCs w:val="0"/>
          <w:caps/>
        </w:rPr>
        <w:t>Reward rate</w:t>
      </w:r>
    </w:p>
    <w:p w14:paraId="1554BCB5" w14:textId="4D6198C0" w:rsidR="002D33E8" w:rsidRPr="00A911BB" w:rsidRDefault="002D33E8" w:rsidP="000B32C5">
      <w:pPr>
        <w:rPr>
          <w:rFonts w:ascii="Roboto Light" w:hAnsi="Roboto Light" w:cs="Arial"/>
          <w:color w:val="202426"/>
          <w:sz w:val="21"/>
          <w:szCs w:val="21"/>
        </w:rPr>
      </w:pPr>
      <w:r w:rsidRPr="00A911BB">
        <w:rPr>
          <w:rFonts w:ascii="Roboto Light" w:hAnsi="Roboto Light" w:cs="Arial"/>
          <w:color w:val="202426"/>
          <w:sz w:val="21"/>
          <w:szCs w:val="21"/>
        </w:rPr>
        <w:t xml:space="preserve">While the technical details differ </w:t>
      </w:r>
      <w:r w:rsidR="00A9624D" w:rsidRPr="00A911BB">
        <w:rPr>
          <w:rFonts w:ascii="Roboto Light" w:hAnsi="Roboto Light" w:cs="Arial"/>
          <w:color w:val="202426"/>
          <w:sz w:val="21"/>
          <w:szCs w:val="21"/>
        </w:rPr>
        <w:t xml:space="preserve">from a single price system </w:t>
      </w:r>
      <w:r w:rsidRPr="00A911BB">
        <w:rPr>
          <w:rFonts w:ascii="Roboto Light" w:hAnsi="Roboto Light" w:cs="Arial"/>
          <w:color w:val="202426"/>
          <w:sz w:val="21"/>
          <w:szCs w:val="21"/>
        </w:rPr>
        <w:t xml:space="preserve">because the compensation for a drug is divided into two separate payments, the ODRS model would yield the same total payment to the firm as a single price system in which the price for the drug was set to achieve an ICER equal to </w:t>
      </w:r>
      <w:r w:rsidRPr="00A911BB">
        <w:rPr>
          <w:rFonts w:ascii="Roboto Light" w:hAnsi="Roboto Light" w:cs="Arial"/>
          <w:i/>
          <w:iCs/>
          <w:color w:val="202426"/>
          <w:sz w:val="21"/>
          <w:szCs w:val="21"/>
        </w:rPr>
        <w:t>r</w:t>
      </w:r>
      <w:r w:rsidRPr="00A911BB">
        <w:rPr>
          <w:rFonts w:ascii="Roboto Light" w:hAnsi="Roboto Light" w:cs="Arial"/>
          <w:color w:val="202426"/>
          <w:sz w:val="21"/>
          <w:szCs w:val="21"/>
        </w:rPr>
        <w:t xml:space="preserve"> (the reward rate per incremental QALY), assuming an equal volume of sales.  </w:t>
      </w:r>
    </w:p>
    <w:p w14:paraId="792FFCE6" w14:textId="0F9E9B99" w:rsidR="000B32C5" w:rsidRPr="008749EC" w:rsidRDefault="00FF2D59" w:rsidP="000B32C5">
      <w:pPr>
        <w:rPr>
          <w:rFonts w:eastAsiaTheme="minorEastAsia"/>
        </w:rPr>
      </w:pPr>
      <w:r w:rsidRPr="00A911BB">
        <w:rPr>
          <w:rFonts w:ascii="Roboto Light" w:hAnsi="Roboto Light" w:cs="Arial"/>
          <w:color w:val="202426"/>
          <w:sz w:val="21"/>
          <w:szCs w:val="21"/>
        </w:rPr>
        <w:t xml:space="preserve">Each drug would be eligible for </w:t>
      </w:r>
      <w:r w:rsidR="00A9624D" w:rsidRPr="00A911BB">
        <w:rPr>
          <w:rFonts w:ascii="Roboto Light" w:hAnsi="Roboto Light" w:cs="Arial"/>
          <w:color w:val="202426"/>
          <w:sz w:val="21"/>
          <w:szCs w:val="21"/>
        </w:rPr>
        <w:t xml:space="preserve">an annual </w:t>
      </w:r>
      <w:r w:rsidRPr="00A911BB">
        <w:rPr>
          <w:rFonts w:ascii="Roboto Light" w:hAnsi="Roboto Light" w:cs="Arial"/>
          <w:color w:val="202426"/>
          <w:sz w:val="21"/>
          <w:szCs w:val="21"/>
        </w:rPr>
        <w:t>reward</w:t>
      </w:r>
      <w:r w:rsidR="00A9624D" w:rsidRPr="00A911BB">
        <w:rPr>
          <w:rFonts w:ascii="Roboto Light" w:hAnsi="Roboto Light" w:cs="Arial"/>
          <w:color w:val="202426"/>
          <w:sz w:val="21"/>
          <w:szCs w:val="21"/>
        </w:rPr>
        <w:t xml:space="preserve"> </w:t>
      </w:r>
      <w:r w:rsidR="00A9624D" w:rsidRPr="00A911BB">
        <w:rPr>
          <w:rFonts w:ascii="Roboto Light" w:hAnsi="Roboto Light" w:cs="Arial"/>
          <w:i/>
          <w:iCs/>
          <w:color w:val="202426"/>
          <w:sz w:val="21"/>
          <w:szCs w:val="21"/>
        </w:rPr>
        <w:t>R</w:t>
      </w:r>
      <w:r w:rsidRPr="00A911BB">
        <w:rPr>
          <w:rFonts w:ascii="Roboto Light" w:hAnsi="Roboto Light" w:cs="Arial"/>
          <w:color w:val="202426"/>
          <w:sz w:val="21"/>
          <w:szCs w:val="21"/>
        </w:rPr>
        <w:t xml:space="preserve"> according to </w:t>
      </w:r>
      <w:r w:rsidR="000B32C5" w:rsidRPr="00A911BB">
        <w:rPr>
          <w:rFonts w:ascii="Roboto Light" w:hAnsi="Roboto Light"/>
          <w:i/>
        </w:rPr>
        <w:br/>
      </w:r>
      <m:oMathPara>
        <m:oMath>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rQ</m:t>
                  </m:r>
                </m:e>
                <m:sub>
                  <m:r>
                    <w:rPr>
                      <w:rFonts w:ascii="Cambria Math" w:hAnsi="Cambria Math"/>
                    </w:rPr>
                    <m:t>ji</m:t>
                  </m:r>
                </m:sub>
              </m:sSub>
              <m:sSub>
                <m:sSubPr>
                  <m:ctrlPr>
                    <w:rPr>
                      <w:rFonts w:ascii="Cambria Math" w:hAnsi="Cambria Math"/>
                      <w:i/>
                    </w:rPr>
                  </m:ctrlPr>
                </m:sSubPr>
                <m:e>
                  <m:r>
                    <w:rPr>
                      <w:rFonts w:ascii="Cambria Math" w:hAnsi="Cambria Math"/>
                    </w:rPr>
                    <m:t>m</m:t>
                  </m:r>
                </m:e>
                <m:sub>
                  <m:r>
                    <w:rPr>
                      <w:rFonts w:ascii="Cambria Math" w:hAnsi="Cambria Math"/>
                    </w:rPr>
                    <m:t>ji</m:t>
                  </m:r>
                </m:sub>
              </m:sSub>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r>
            <w:rPr>
              <w:rFonts w:ascii="Cambria Math" w:hAnsi="Cambria Math"/>
            </w:rPr>
            <m:t>-</m:t>
          </m:r>
          <m:nary>
            <m:naryPr>
              <m:chr m:val="∑"/>
              <m:limLoc m:val="subSup"/>
              <m:supHide m:val="1"/>
              <m:ctrlPr>
                <w:rPr>
                  <w:rFonts w:ascii="Cambria Math" w:eastAsiaTheme="minorHAnsi" w:hAnsi="Cambria Math" w:cstheme="minorBidi"/>
                  <w:i/>
                  <w:sz w:val="24"/>
                  <w:szCs w:val="24"/>
                  <w:lang w:val="en-US"/>
                </w:rPr>
              </m:ctrlPr>
            </m:naryPr>
            <m:sub>
              <m:r>
                <w:rPr>
                  <w:rFonts w:ascii="Cambria Math" w:hAnsi="Cambria Math"/>
                </w:rPr>
                <m:t>i</m:t>
              </m:r>
            </m:sub>
            <m:sup/>
            <m:e>
              <m:sSub>
                <m:sSubPr>
                  <m:ctrlPr>
                    <w:rPr>
                      <w:rFonts w:ascii="Cambria Math" w:eastAsiaTheme="minorHAnsi" w:hAnsi="Cambria Math" w:cstheme="minorBidi"/>
                      <w:i/>
                      <w:sz w:val="24"/>
                      <w:szCs w:val="24"/>
                      <w:lang w:val="en-US"/>
                    </w:rPr>
                  </m:ctrlPr>
                </m:sSubPr>
                <m:e>
                  <m:r>
                    <w:rPr>
                      <w:rFonts w:ascii="Cambria Math" w:hAnsi="Cambria Math"/>
                    </w:rPr>
                    <m:t>c</m:t>
                  </m:r>
                </m:e>
                <m:sub>
                  <m:r>
                    <w:rPr>
                      <w:rFonts w:ascii="Cambria Math" w:hAnsi="Cambria Math"/>
                    </w:rPr>
                    <m:t>ji</m:t>
                  </m:r>
                </m:sub>
              </m:sSub>
            </m:e>
          </m:nary>
        </m:oMath>
      </m:oMathPara>
    </w:p>
    <w:p w14:paraId="39818196" w14:textId="0CB443ED" w:rsidR="002D33E8"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where </w:t>
      </w:r>
      <w:r w:rsidRPr="00A911BB">
        <w:rPr>
          <w:rFonts w:ascii="Roboto Light" w:hAnsi="Roboto Light" w:cs="Arial"/>
          <w:i/>
          <w:iCs/>
          <w:color w:val="202426"/>
          <w:sz w:val="21"/>
          <w:szCs w:val="21"/>
        </w:rPr>
        <w:t>r</w:t>
      </w:r>
      <w:r w:rsidRPr="00A911BB">
        <w:rPr>
          <w:rFonts w:ascii="Roboto Light" w:hAnsi="Roboto Light" w:cs="Arial"/>
          <w:color w:val="202426"/>
          <w:sz w:val="21"/>
          <w:szCs w:val="21"/>
        </w:rPr>
        <w:t xml:space="preserve"> indicates the reward rate, </w:t>
      </w:r>
      <w:proofErr w:type="spellStart"/>
      <w:r w:rsidRPr="00A911BB">
        <w:rPr>
          <w:rFonts w:ascii="Roboto Light" w:hAnsi="Roboto Light" w:cs="Arial"/>
          <w:i/>
          <w:iCs/>
          <w:color w:val="202426"/>
          <w:sz w:val="21"/>
          <w:szCs w:val="21"/>
        </w:rPr>
        <w:t>Q</w:t>
      </w:r>
      <w:r w:rsidRPr="00A911BB">
        <w:rPr>
          <w:rFonts w:ascii="Roboto Light" w:hAnsi="Roboto Light" w:cs="Arial"/>
          <w:i/>
          <w:iCs/>
          <w:color w:val="202426"/>
          <w:sz w:val="21"/>
          <w:szCs w:val="21"/>
          <w:vertAlign w:val="subscript"/>
        </w:rPr>
        <w:t>ji</w:t>
      </w:r>
      <w:proofErr w:type="spellEnd"/>
      <w:r w:rsidRPr="00A911BB">
        <w:rPr>
          <w:rFonts w:ascii="Roboto Light" w:hAnsi="Roboto Light" w:cs="Arial"/>
          <w:color w:val="202426"/>
          <w:sz w:val="21"/>
          <w:szCs w:val="21"/>
        </w:rPr>
        <w:t xml:space="preserve"> represents the assessed QALYs in a year for the drug </w:t>
      </w:r>
      <w:r w:rsidRPr="00A911BB">
        <w:rPr>
          <w:rFonts w:ascii="Roboto Light" w:hAnsi="Roboto Light" w:cs="Arial"/>
          <w:i/>
          <w:iCs/>
          <w:color w:val="202426"/>
          <w:sz w:val="21"/>
          <w:szCs w:val="21"/>
        </w:rPr>
        <w:t>j</w:t>
      </w:r>
      <w:r w:rsidRPr="00A911BB">
        <w:rPr>
          <w:rFonts w:ascii="Roboto Light" w:hAnsi="Roboto Light" w:cs="Arial"/>
          <w:color w:val="202426"/>
          <w:sz w:val="21"/>
          <w:szCs w:val="21"/>
        </w:rPr>
        <w:t xml:space="preserve"> and indication </w:t>
      </w:r>
      <w:proofErr w:type="spellStart"/>
      <w:r w:rsidRPr="00A911BB">
        <w:rPr>
          <w:rFonts w:ascii="Roboto Light" w:hAnsi="Roboto Light" w:cs="Arial"/>
          <w:i/>
          <w:iCs/>
          <w:color w:val="202426"/>
          <w:sz w:val="21"/>
          <w:szCs w:val="21"/>
        </w:rPr>
        <w:t>i</w:t>
      </w:r>
      <w:proofErr w:type="spellEnd"/>
      <w:r w:rsidRPr="00A911BB">
        <w:rPr>
          <w:rFonts w:ascii="Roboto Light" w:hAnsi="Roboto Light" w:cs="Arial"/>
          <w:color w:val="202426"/>
          <w:sz w:val="21"/>
          <w:szCs w:val="21"/>
        </w:rPr>
        <w:t xml:space="preserve">, </w:t>
      </w:r>
      <w:proofErr w:type="spellStart"/>
      <w:r w:rsidRPr="00A911BB">
        <w:rPr>
          <w:rFonts w:ascii="Roboto Light" w:hAnsi="Roboto Light" w:cs="Arial"/>
          <w:i/>
          <w:iCs/>
          <w:color w:val="202426"/>
          <w:sz w:val="21"/>
          <w:szCs w:val="21"/>
        </w:rPr>
        <w:t>m</w:t>
      </w:r>
      <w:r w:rsidRPr="00A911BB">
        <w:rPr>
          <w:rFonts w:ascii="Roboto Light" w:hAnsi="Roboto Light" w:cs="Arial"/>
          <w:i/>
          <w:iCs/>
          <w:color w:val="202426"/>
          <w:sz w:val="21"/>
          <w:szCs w:val="21"/>
          <w:vertAlign w:val="subscript"/>
        </w:rPr>
        <w:t>ji</w:t>
      </w:r>
      <w:proofErr w:type="spellEnd"/>
      <w:r w:rsidRPr="00A911BB">
        <w:rPr>
          <w:rFonts w:ascii="Roboto Light" w:hAnsi="Roboto Light" w:cs="Arial"/>
          <w:color w:val="202426"/>
          <w:sz w:val="21"/>
          <w:szCs w:val="21"/>
        </w:rPr>
        <w:t xml:space="preserve"> the relevant modifiers (such as whether it is an orphan drug indication), </w:t>
      </w:r>
      <w:proofErr w:type="spellStart"/>
      <w:r w:rsidRPr="00A911BB">
        <w:rPr>
          <w:rFonts w:ascii="Roboto Light" w:hAnsi="Roboto Light" w:cs="Arial"/>
          <w:i/>
          <w:iCs/>
          <w:color w:val="202426"/>
          <w:sz w:val="21"/>
          <w:szCs w:val="21"/>
        </w:rPr>
        <w:t>p</w:t>
      </w:r>
      <w:r w:rsidRPr="00A911BB">
        <w:rPr>
          <w:rFonts w:ascii="Roboto Light" w:hAnsi="Roboto Light" w:cs="Arial"/>
          <w:i/>
          <w:iCs/>
          <w:color w:val="202426"/>
          <w:sz w:val="21"/>
          <w:szCs w:val="21"/>
          <w:vertAlign w:val="subscript"/>
        </w:rPr>
        <w:t>j</w:t>
      </w:r>
      <w:proofErr w:type="spellEnd"/>
      <w:r w:rsidRPr="00A911BB">
        <w:rPr>
          <w:rFonts w:ascii="Roboto Light" w:hAnsi="Roboto Light" w:cs="Arial"/>
          <w:i/>
          <w:iCs/>
          <w:color w:val="202426"/>
          <w:sz w:val="21"/>
          <w:szCs w:val="21"/>
        </w:rPr>
        <w:t xml:space="preserve"> </w:t>
      </w:r>
      <w:r w:rsidRPr="00A911BB">
        <w:rPr>
          <w:rFonts w:ascii="Roboto Light" w:hAnsi="Roboto Light" w:cs="Arial"/>
          <w:color w:val="202426"/>
          <w:sz w:val="21"/>
          <w:szCs w:val="21"/>
        </w:rPr>
        <w:t xml:space="preserve">the sales price for the drug, </w:t>
      </w:r>
      <w:proofErr w:type="spellStart"/>
      <w:r w:rsidRPr="00A911BB">
        <w:rPr>
          <w:rFonts w:ascii="Roboto Light" w:hAnsi="Roboto Light" w:cs="Arial"/>
          <w:i/>
          <w:iCs/>
          <w:color w:val="202426"/>
          <w:sz w:val="21"/>
          <w:szCs w:val="21"/>
        </w:rPr>
        <w:t>q</w:t>
      </w:r>
      <w:r w:rsidRPr="00A911BB">
        <w:rPr>
          <w:rFonts w:ascii="Roboto Light" w:hAnsi="Roboto Light" w:cs="Arial"/>
          <w:i/>
          <w:iCs/>
          <w:color w:val="202426"/>
          <w:sz w:val="21"/>
          <w:szCs w:val="21"/>
          <w:vertAlign w:val="subscript"/>
        </w:rPr>
        <w:t>j</w:t>
      </w:r>
      <w:proofErr w:type="spellEnd"/>
      <w:r w:rsidRPr="00A911BB">
        <w:rPr>
          <w:rFonts w:ascii="Roboto Light" w:hAnsi="Roboto Light" w:cs="Arial"/>
          <w:color w:val="202426"/>
          <w:sz w:val="21"/>
          <w:szCs w:val="21"/>
        </w:rPr>
        <w:t xml:space="preserve"> the number of units sold</w:t>
      </w:r>
      <w:r w:rsidR="000B32C5" w:rsidRPr="00A911BB">
        <w:rPr>
          <w:rFonts w:ascii="Roboto Light" w:hAnsi="Roboto Light" w:cs="Arial"/>
          <w:color w:val="202426"/>
          <w:sz w:val="21"/>
          <w:szCs w:val="21"/>
        </w:rPr>
        <w:t xml:space="preserve"> and </w:t>
      </w:r>
      <w:proofErr w:type="spellStart"/>
      <w:r w:rsidR="000B32C5" w:rsidRPr="00A911BB">
        <w:rPr>
          <w:rFonts w:ascii="Roboto Light" w:hAnsi="Roboto Light" w:cs="Arial"/>
          <w:i/>
          <w:iCs/>
          <w:color w:val="202426"/>
          <w:sz w:val="21"/>
          <w:szCs w:val="21"/>
        </w:rPr>
        <w:t>c</w:t>
      </w:r>
      <w:r w:rsidR="000B32C5" w:rsidRPr="00A911BB">
        <w:rPr>
          <w:rFonts w:ascii="Roboto Light" w:hAnsi="Roboto Light" w:cs="Arial"/>
          <w:i/>
          <w:iCs/>
          <w:color w:val="202426"/>
          <w:sz w:val="21"/>
          <w:szCs w:val="21"/>
          <w:vertAlign w:val="subscript"/>
        </w:rPr>
        <w:t>ji</w:t>
      </w:r>
      <w:proofErr w:type="spellEnd"/>
      <w:r w:rsidR="000B32C5" w:rsidRPr="00A911BB">
        <w:rPr>
          <w:rFonts w:ascii="Roboto Light" w:hAnsi="Roboto Light" w:cs="Arial"/>
          <w:i/>
          <w:iCs/>
          <w:color w:val="202426"/>
          <w:sz w:val="21"/>
          <w:szCs w:val="21"/>
          <w:vertAlign w:val="subscript"/>
        </w:rPr>
        <w:t xml:space="preserve"> </w:t>
      </w:r>
      <w:r w:rsidR="00B94A8B" w:rsidRPr="00A911BB">
        <w:rPr>
          <w:rFonts w:ascii="Roboto Light" w:hAnsi="Roboto Light" w:cs="Arial"/>
          <w:color w:val="202426"/>
          <w:sz w:val="21"/>
          <w:szCs w:val="21"/>
        </w:rPr>
        <w:t>t</w:t>
      </w:r>
      <w:r w:rsidR="000B32C5" w:rsidRPr="00A911BB">
        <w:rPr>
          <w:rFonts w:ascii="Roboto Light" w:hAnsi="Roboto Light" w:cs="Arial"/>
          <w:color w:val="202426"/>
          <w:sz w:val="21"/>
          <w:szCs w:val="21"/>
        </w:rPr>
        <w:t>he net costs of using the therapy (excluding the sales revenues)</w:t>
      </w:r>
      <w:r w:rsidR="00147A6D" w:rsidRPr="00A911BB">
        <w:rPr>
          <w:rFonts w:ascii="Roboto Light" w:hAnsi="Roboto Light" w:cs="Arial"/>
          <w:color w:val="202426"/>
          <w:sz w:val="21"/>
          <w:szCs w:val="21"/>
        </w:rPr>
        <w:t xml:space="preserve"> compared to the relevant alternative</w:t>
      </w:r>
      <w:r w:rsidR="000B32C5" w:rsidRPr="00A911BB">
        <w:rPr>
          <w:rFonts w:ascii="Roboto Light" w:hAnsi="Roboto Light" w:cs="Arial"/>
          <w:color w:val="202426"/>
          <w:sz w:val="21"/>
          <w:szCs w:val="21"/>
        </w:rPr>
        <w:t>. Net costs could be expected to be negative if the drug replaced an expensive therapy</w:t>
      </w:r>
      <w:r w:rsidR="00B21005" w:rsidRPr="00A911BB">
        <w:rPr>
          <w:rFonts w:ascii="Roboto Light" w:hAnsi="Roboto Light" w:cs="Arial"/>
          <w:color w:val="202426"/>
          <w:sz w:val="21"/>
          <w:szCs w:val="21"/>
        </w:rPr>
        <w:t>, in which case the reward to the innovator would be increased by the net savings</w:t>
      </w:r>
      <w:r w:rsidR="000B32C5" w:rsidRPr="00A911BB">
        <w:rPr>
          <w:rFonts w:ascii="Roboto Light" w:hAnsi="Roboto Light" w:cs="Arial"/>
          <w:color w:val="202426"/>
          <w:sz w:val="21"/>
          <w:szCs w:val="21"/>
        </w:rPr>
        <w:t xml:space="preserve">. </w:t>
      </w:r>
    </w:p>
    <w:p w14:paraId="34EB373A" w14:textId="1CC2CB62" w:rsidR="002D33E8" w:rsidRPr="00A911BB" w:rsidRDefault="002D33E8" w:rsidP="00FF2D59">
      <w:pPr>
        <w:rPr>
          <w:rFonts w:ascii="Roboto Light" w:hAnsi="Roboto Light" w:cs="Arial"/>
          <w:color w:val="202426"/>
          <w:sz w:val="21"/>
          <w:szCs w:val="21"/>
        </w:rPr>
      </w:pPr>
      <w:r w:rsidRPr="00A911BB">
        <w:rPr>
          <w:rFonts w:ascii="Roboto Light" w:hAnsi="Roboto Light" w:cs="Arial"/>
          <w:color w:val="202426"/>
          <w:sz w:val="21"/>
          <w:szCs w:val="21"/>
        </w:rPr>
        <w:t xml:space="preserve">Modifiers are an important feature of the reward mechanism, as they would allow for different levels of reward based on pre-specified criteria. While other modifiers are possible, plausible modifiers would include orphan drug status (with </w:t>
      </w:r>
      <w:r w:rsidRPr="00A911BB">
        <w:rPr>
          <w:rFonts w:ascii="Roboto Light" w:hAnsi="Roboto Light" w:cs="Arial"/>
          <w:i/>
          <w:iCs/>
          <w:color w:val="202426"/>
          <w:sz w:val="21"/>
          <w:szCs w:val="21"/>
        </w:rPr>
        <w:t>m</w:t>
      </w:r>
      <w:r w:rsidRPr="00A911BB">
        <w:rPr>
          <w:rFonts w:ascii="Roboto Light" w:hAnsi="Roboto Light" w:cs="Arial"/>
          <w:color w:val="202426"/>
          <w:sz w:val="21"/>
          <w:szCs w:val="21"/>
        </w:rPr>
        <w:t xml:space="preserve"> &gt; 1) and new indications for an existing drug (with </w:t>
      </w:r>
      <w:r w:rsidRPr="00A911BB">
        <w:rPr>
          <w:rFonts w:ascii="Roboto Light" w:hAnsi="Roboto Light" w:cs="Arial"/>
          <w:i/>
          <w:iCs/>
          <w:color w:val="202426"/>
          <w:sz w:val="21"/>
          <w:szCs w:val="21"/>
        </w:rPr>
        <w:t>m</w:t>
      </w:r>
      <w:r w:rsidRPr="00A911BB">
        <w:rPr>
          <w:rFonts w:ascii="Roboto Light" w:hAnsi="Roboto Light" w:cs="Arial"/>
          <w:color w:val="202426"/>
          <w:sz w:val="21"/>
          <w:szCs w:val="21"/>
        </w:rPr>
        <w:t xml:space="preserve"> &lt; 1).</w:t>
      </w:r>
    </w:p>
    <w:p w14:paraId="4399EB16" w14:textId="5F2EC7AD" w:rsidR="00FF2D59" w:rsidRPr="004A2B63" w:rsidRDefault="00FF2D59" w:rsidP="00FF2D59">
      <w:pPr>
        <w:rPr>
          <w:rFonts w:eastAsiaTheme="minorEastAsia"/>
          <w:iCs/>
        </w:rPr>
      </w:pPr>
      <w:r w:rsidRPr="00A911BB">
        <w:rPr>
          <w:rFonts w:ascii="Roboto Light" w:hAnsi="Roboto Light" w:cs="Arial"/>
          <w:color w:val="202426"/>
          <w:sz w:val="21"/>
          <w:szCs w:val="21"/>
        </w:rPr>
        <w:t xml:space="preserve">The reward rate </w:t>
      </w:r>
      <w:r w:rsidRPr="00A911BB">
        <w:rPr>
          <w:rFonts w:ascii="Roboto Light" w:hAnsi="Roboto Light" w:cs="Arial"/>
          <w:i/>
          <w:iCs/>
          <w:color w:val="202426"/>
          <w:sz w:val="21"/>
          <w:szCs w:val="21"/>
        </w:rPr>
        <w:t>r</w:t>
      </w:r>
      <w:r w:rsidRPr="00A911BB">
        <w:rPr>
          <w:rFonts w:ascii="Roboto Light" w:hAnsi="Roboto Light" w:cs="Arial"/>
          <w:color w:val="202426"/>
          <w:sz w:val="21"/>
          <w:szCs w:val="21"/>
        </w:rPr>
        <w:t xml:space="preserve"> would be set at the lower of the highest allowed </w:t>
      </w:r>
      <w:r w:rsidR="00A9624D" w:rsidRPr="00A911BB">
        <w:rPr>
          <w:rFonts w:ascii="Roboto Light" w:hAnsi="Roboto Light" w:cs="Arial"/>
          <w:color w:val="202426"/>
          <w:sz w:val="21"/>
          <w:szCs w:val="21"/>
        </w:rPr>
        <w:t xml:space="preserve">reward </w:t>
      </w:r>
      <w:r w:rsidRPr="00A911BB">
        <w:rPr>
          <w:rFonts w:ascii="Roboto Light" w:hAnsi="Roboto Light" w:cs="Arial"/>
          <w:color w:val="202426"/>
          <w:sz w:val="21"/>
          <w:szCs w:val="21"/>
        </w:rPr>
        <w:t>rate</w:t>
      </w:r>
      <w:r w:rsidR="00A9624D" w:rsidRPr="00A911BB">
        <w:rPr>
          <w:rFonts w:ascii="Roboto Light" w:hAnsi="Roboto Light" w:cs="Arial"/>
          <w:color w:val="202426"/>
          <w:sz w:val="21"/>
          <w:szCs w:val="21"/>
        </w:rPr>
        <w:t xml:space="preserve"> per QALY </w:t>
      </w:r>
      <m:oMath>
        <m:acc>
          <m:accPr>
            <m:chr m:val="̅"/>
            <m:ctrlPr>
              <w:rPr>
                <w:rFonts w:ascii="Cambria Math" w:hAnsi="Cambria Math" w:cs="Arial"/>
                <w:i/>
                <w:color w:val="202426"/>
                <w:sz w:val="21"/>
                <w:szCs w:val="21"/>
              </w:rPr>
            </m:ctrlPr>
          </m:accPr>
          <m:e>
            <m:r>
              <w:rPr>
                <w:rFonts w:ascii="Cambria Math" w:hAnsi="Cambria Math" w:cs="Arial"/>
                <w:color w:val="202426"/>
                <w:sz w:val="21"/>
                <w:szCs w:val="21"/>
              </w:rPr>
              <m:t>r</m:t>
            </m:r>
          </m:e>
        </m:acc>
      </m:oMath>
      <w:r w:rsidRPr="00A911BB">
        <w:rPr>
          <w:rFonts w:ascii="Roboto Light" w:hAnsi="Roboto Light" w:cs="Arial"/>
          <w:color w:val="202426"/>
          <w:sz w:val="21"/>
          <w:szCs w:val="21"/>
        </w:rPr>
        <w:t xml:space="preserve"> (for example,</w:t>
      </w:r>
      <w:r w:rsidR="00FE7A1E" w:rsidRPr="00A911BB">
        <w:rPr>
          <w:rFonts w:ascii="Roboto Light" w:hAnsi="Roboto Light" w:cs="Arial"/>
          <w:color w:val="202426"/>
          <w:sz w:val="21"/>
          <w:szCs w:val="21"/>
        </w:rPr>
        <w:t xml:space="preserve"> </w:t>
      </w:r>
      <w:r w:rsidR="008158DD" w:rsidRPr="00A911BB">
        <w:rPr>
          <w:rFonts w:ascii="Roboto Light" w:hAnsi="Roboto Light" w:cs="Arial"/>
          <w:color w:val="202426"/>
          <w:sz w:val="21"/>
          <w:szCs w:val="21"/>
        </w:rPr>
        <w:t>£50,000)</w:t>
      </w:r>
      <w:r w:rsidRPr="00A911BB">
        <w:rPr>
          <w:rFonts w:ascii="Roboto Light" w:hAnsi="Roboto Light" w:cs="Arial"/>
          <w:color w:val="202426"/>
          <w:sz w:val="21"/>
          <w:szCs w:val="21"/>
        </w:rPr>
        <w:t xml:space="preserve"> and the rate that would fully use the budget </w:t>
      </w:r>
      <w:r w:rsidRPr="00A911BB">
        <w:rPr>
          <w:rFonts w:ascii="Roboto Light" w:hAnsi="Roboto Light" w:cs="Arial"/>
          <w:i/>
          <w:iCs/>
          <w:color w:val="202426"/>
          <w:sz w:val="21"/>
          <w:szCs w:val="21"/>
        </w:rPr>
        <w:t>B</w:t>
      </w:r>
      <w:r w:rsidRPr="00A911BB">
        <w:rPr>
          <w:rFonts w:ascii="Roboto Light" w:hAnsi="Roboto Light" w:cs="Arial"/>
          <w:color w:val="202426"/>
          <w:sz w:val="21"/>
          <w:szCs w:val="21"/>
        </w:rPr>
        <w:t xml:space="preserve">: </w:t>
      </w:r>
      <w:r w:rsidR="000B32C5" w:rsidRPr="00A911BB">
        <w:rPr>
          <w:rFonts w:ascii="Roboto Light" w:hAnsi="Roboto Light"/>
          <w:i/>
        </w:rPr>
        <w:br/>
      </w:r>
      <m:oMathPara>
        <m:oMath>
          <m:r>
            <w:rPr>
              <w:rFonts w:ascii="Cambria Math" w:hAnsi="Cambria Math"/>
            </w:rPr>
            <m:t>r=</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acc>
                    <m:accPr>
                      <m:chr m:val="̅"/>
                      <m:ctrlPr>
                        <w:rPr>
                          <w:rFonts w:ascii="Cambria Math" w:hAnsi="Cambria Math" w:cs="Arial"/>
                          <w:i/>
                          <w:color w:val="202426"/>
                          <w:sz w:val="21"/>
                          <w:szCs w:val="21"/>
                        </w:rPr>
                      </m:ctrlPr>
                    </m:accPr>
                    <m:e>
                      <m:r>
                        <w:rPr>
                          <w:rFonts w:ascii="Cambria Math" w:hAnsi="Cambria Math" w:cs="Arial"/>
                          <w:color w:val="202426"/>
                          <w:sz w:val="21"/>
                          <w:szCs w:val="21"/>
                        </w:rPr>
                        <m:t xml:space="preserve">r </m:t>
                      </m:r>
                    </m:e>
                  </m:acc>
                  <m:r>
                    <w:rPr>
                      <w:rFonts w:ascii="Cambria Math" w:hAnsi="Cambria Math"/>
                    </w:rPr>
                    <m:t xml:space="preserve">, </m:t>
                  </m:r>
                  <m:f>
                    <m:fPr>
                      <m:ctrlPr>
                        <w:rPr>
                          <w:rFonts w:ascii="Cambria Math" w:hAnsi="Cambria Math"/>
                          <w:i/>
                        </w:rPr>
                      </m:ctrlPr>
                    </m:fPr>
                    <m:num>
                      <m:r>
                        <w:rPr>
                          <w:rFonts w:ascii="Cambria Math" w:hAnsi="Cambria Math"/>
                        </w:rPr>
                        <m:t>B+</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q</m:t>
                              </m:r>
                            </m:e>
                            <m:sub>
                              <m:r>
                                <w:rPr>
                                  <w:rFonts w:ascii="Cambria Math" w:hAnsi="Cambria Math"/>
                                </w:rPr>
                                <m:t>j</m:t>
                              </m:r>
                            </m:sub>
                          </m:sSub>
                        </m:e>
                      </m:nary>
                      <m:r>
                        <w:rPr>
                          <w:rFonts w:ascii="Cambria Math" w:hAnsi="Cambria Math"/>
                        </w:rPr>
                        <m:t>+</m:t>
                      </m:r>
                      <m:nary>
                        <m:naryPr>
                          <m:chr m:val="∑"/>
                          <m:limLoc m:val="subSup"/>
                          <m:supHide m:val="1"/>
                          <m:ctrlPr>
                            <w:rPr>
                              <w:rFonts w:ascii="Cambria Math" w:eastAsiaTheme="minorHAnsi" w:hAnsi="Cambria Math" w:cstheme="minorBidi"/>
                              <w:i/>
                              <w:sz w:val="24"/>
                              <w:szCs w:val="24"/>
                              <w:lang w:val="en-US"/>
                            </w:rPr>
                          </m:ctrlPr>
                        </m:naryPr>
                        <m:sub>
                          <m:r>
                            <w:rPr>
                              <w:rFonts w:ascii="Cambria Math" w:hAnsi="Cambria Math"/>
                            </w:rPr>
                            <m:t>i</m:t>
                          </m:r>
                        </m:sub>
                        <m:sup/>
                        <m:e>
                          <m:sSub>
                            <m:sSubPr>
                              <m:ctrlPr>
                                <w:rPr>
                                  <w:rFonts w:ascii="Cambria Math" w:eastAsiaTheme="minorHAnsi" w:hAnsi="Cambria Math" w:cstheme="minorBidi"/>
                                  <w:i/>
                                  <w:sz w:val="24"/>
                                  <w:szCs w:val="24"/>
                                  <w:lang w:val="en-US"/>
                                </w:rPr>
                              </m:ctrlPr>
                            </m:sSubPr>
                            <m:e>
                              <m:r>
                                <w:rPr>
                                  <w:rFonts w:ascii="Cambria Math" w:hAnsi="Cambria Math"/>
                                </w:rPr>
                                <m:t>c</m:t>
                              </m:r>
                            </m:e>
                            <m:sub>
                              <m:r>
                                <w:rPr>
                                  <w:rFonts w:ascii="Cambria Math" w:hAnsi="Cambria Math"/>
                                </w:rPr>
                                <m:t>ji</m:t>
                              </m:r>
                            </m:sub>
                          </m:sSub>
                        </m:e>
                      </m:nary>
                    </m:num>
                    <m:den>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Q</m:t>
                                  </m:r>
                                </m:e>
                                <m:sub>
                                  <m:r>
                                    <w:rPr>
                                      <w:rFonts w:ascii="Cambria Math" w:hAnsi="Cambria Math"/>
                                    </w:rPr>
                                    <m:t>ji</m:t>
                                  </m:r>
                                </m:sub>
                              </m:sSub>
                              <m:sSub>
                                <m:sSubPr>
                                  <m:ctrlPr>
                                    <w:rPr>
                                      <w:rFonts w:ascii="Cambria Math" w:hAnsi="Cambria Math"/>
                                      <w:i/>
                                    </w:rPr>
                                  </m:ctrlPr>
                                </m:sSubPr>
                                <m:e>
                                  <m:r>
                                    <w:rPr>
                                      <w:rFonts w:ascii="Cambria Math" w:hAnsi="Cambria Math"/>
                                    </w:rPr>
                                    <m:t>m</m:t>
                                  </m:r>
                                </m:e>
                                <m:sub>
                                  <m:r>
                                    <w:rPr>
                                      <w:rFonts w:ascii="Cambria Math" w:hAnsi="Cambria Math"/>
                                    </w:rPr>
                                    <m:t>ji</m:t>
                                  </m:r>
                                </m:sub>
                              </m:sSub>
                            </m:e>
                          </m:nary>
                        </m:e>
                      </m:nary>
                    </m:den>
                  </m:f>
                </m:e>
              </m:d>
            </m:e>
          </m:func>
        </m:oMath>
      </m:oMathPara>
    </w:p>
    <w:p w14:paraId="02DC7BC5" w14:textId="60B17013"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The essence of this is that the total rewards would never exceed the budget, while firms would obtain rewards</w:t>
      </w:r>
      <w:r w:rsidR="00147A6D" w:rsidRPr="00A911BB">
        <w:rPr>
          <w:rFonts w:ascii="Roboto Light" w:hAnsi="Roboto Light" w:cs="Arial"/>
          <w:color w:val="202426"/>
          <w:sz w:val="21"/>
          <w:szCs w:val="21"/>
        </w:rPr>
        <w:t xml:space="preserve"> </w:t>
      </w:r>
      <w:r w:rsidRPr="00A911BB">
        <w:rPr>
          <w:rFonts w:ascii="Roboto Light" w:hAnsi="Roboto Light" w:cs="Arial"/>
          <w:color w:val="202426"/>
          <w:sz w:val="21"/>
          <w:szCs w:val="21"/>
        </w:rPr>
        <w:t>based on the assessed health benefits of their products</w:t>
      </w:r>
      <w:r w:rsidR="00147A6D" w:rsidRPr="00A911BB">
        <w:rPr>
          <w:rFonts w:ascii="Roboto Light" w:hAnsi="Roboto Light" w:cs="Arial"/>
          <w:color w:val="202426"/>
          <w:sz w:val="21"/>
          <w:szCs w:val="21"/>
        </w:rPr>
        <w:t>,</w:t>
      </w:r>
      <w:r w:rsidRPr="00A911BB">
        <w:rPr>
          <w:rFonts w:ascii="Roboto Light" w:hAnsi="Roboto Light" w:cs="Arial"/>
          <w:color w:val="202426"/>
          <w:sz w:val="21"/>
          <w:szCs w:val="21"/>
        </w:rPr>
        <w:t xml:space="preserve"> and adjusted according to pre-agreed modifiers</w:t>
      </w:r>
      <w:r w:rsidR="00147A6D" w:rsidRPr="00A911BB">
        <w:rPr>
          <w:rFonts w:ascii="Roboto Light" w:hAnsi="Roboto Light" w:cs="Arial"/>
          <w:color w:val="202426"/>
          <w:sz w:val="21"/>
          <w:szCs w:val="21"/>
        </w:rPr>
        <w:t>, with deductions made for their sales revenues and additions (deductions) made for net savings (incremental costs)</w:t>
      </w:r>
      <w:r w:rsidRPr="00A911BB">
        <w:rPr>
          <w:rFonts w:ascii="Roboto Light" w:hAnsi="Roboto Light" w:cs="Arial"/>
          <w:color w:val="202426"/>
          <w:sz w:val="21"/>
          <w:szCs w:val="21"/>
        </w:rPr>
        <w:t xml:space="preserve">. </w:t>
      </w:r>
      <w:r w:rsidR="000B32C5" w:rsidRPr="00A911BB">
        <w:rPr>
          <w:rFonts w:ascii="Roboto Light" w:hAnsi="Roboto Light" w:cs="Arial"/>
          <w:color w:val="202426"/>
          <w:sz w:val="21"/>
          <w:szCs w:val="21"/>
        </w:rPr>
        <w:t xml:space="preserve">The ODRS would seek cost-recovery </w:t>
      </w:r>
      <w:r w:rsidR="00BC36F5" w:rsidRPr="00A911BB">
        <w:rPr>
          <w:rFonts w:ascii="Roboto Light" w:hAnsi="Roboto Light" w:cs="Arial"/>
          <w:color w:val="202426"/>
          <w:sz w:val="21"/>
          <w:szCs w:val="21"/>
        </w:rPr>
        <w:t xml:space="preserve">from insurers when the net costs of implementing the drug </w:t>
      </w:r>
      <w:r w:rsidR="00BC36F5" w:rsidRPr="00A911BB">
        <w:rPr>
          <w:rFonts w:ascii="Roboto Light" w:hAnsi="Roboto Light" w:cs="Arial"/>
          <w:i/>
          <w:iCs/>
          <w:color w:val="202426"/>
          <w:sz w:val="21"/>
          <w:szCs w:val="21"/>
        </w:rPr>
        <w:t>j</w:t>
      </w:r>
      <w:r w:rsidR="00BC36F5" w:rsidRPr="00A911BB">
        <w:rPr>
          <w:rFonts w:ascii="Roboto Light" w:hAnsi="Roboto Light" w:cs="Arial"/>
          <w:color w:val="202426"/>
          <w:sz w:val="21"/>
          <w:szCs w:val="21"/>
        </w:rPr>
        <w:t xml:space="preserve"> were negative (</w:t>
      </w:r>
      <w:r w:rsidR="00BC36F5" w:rsidRPr="00A911BB">
        <w:rPr>
          <w:rFonts w:ascii="Roboto Light" w:hAnsi="Roboto Light" w:cs="Arial"/>
          <w:i/>
          <w:iCs/>
          <w:color w:val="202426"/>
          <w:sz w:val="21"/>
          <w:szCs w:val="21"/>
        </w:rPr>
        <w:t>i.e.</w:t>
      </w:r>
      <w:r w:rsidR="00BC36F5" w:rsidRPr="00A911BB">
        <w:rPr>
          <w:rFonts w:ascii="Roboto Light" w:hAnsi="Roboto Light" w:cs="Arial"/>
          <w:color w:val="202426"/>
          <w:sz w:val="21"/>
          <w:szCs w:val="21"/>
        </w:rPr>
        <w:t xml:space="preserve">, there are cost savings from using drug </w:t>
      </w:r>
      <w:r w:rsidR="00BC36F5" w:rsidRPr="00A911BB">
        <w:rPr>
          <w:rFonts w:ascii="Roboto Light" w:hAnsi="Roboto Light" w:cs="Arial"/>
          <w:i/>
          <w:iCs/>
          <w:color w:val="202426"/>
          <w:sz w:val="21"/>
          <w:szCs w:val="21"/>
        </w:rPr>
        <w:t>j</w:t>
      </w:r>
      <w:r w:rsidR="00BC36F5" w:rsidRPr="00A911BB">
        <w:rPr>
          <w:rFonts w:ascii="Roboto Light" w:hAnsi="Roboto Light" w:cs="Arial"/>
          <w:color w:val="202426"/>
          <w:sz w:val="21"/>
          <w:szCs w:val="21"/>
        </w:rPr>
        <w:t>) and could compensate insurers when complementary costs of the therapy were positive (</w:t>
      </w:r>
      <w:r w:rsidR="00BC36F5" w:rsidRPr="00A911BB">
        <w:rPr>
          <w:rFonts w:ascii="Roboto Light" w:hAnsi="Roboto Light" w:cs="Arial"/>
          <w:i/>
          <w:iCs/>
          <w:color w:val="202426"/>
          <w:sz w:val="21"/>
          <w:szCs w:val="21"/>
        </w:rPr>
        <w:t>e.g.</w:t>
      </w:r>
      <w:r w:rsidR="00BC36F5" w:rsidRPr="00A911BB">
        <w:rPr>
          <w:rFonts w:ascii="Roboto Light" w:hAnsi="Roboto Light" w:cs="Arial"/>
          <w:color w:val="202426"/>
          <w:sz w:val="21"/>
          <w:szCs w:val="21"/>
        </w:rPr>
        <w:t xml:space="preserve">, use of drug </w:t>
      </w:r>
      <w:r w:rsidR="00BC36F5" w:rsidRPr="00A911BB">
        <w:rPr>
          <w:rFonts w:ascii="Roboto Light" w:hAnsi="Roboto Light" w:cs="Arial"/>
          <w:i/>
          <w:iCs/>
          <w:color w:val="202426"/>
          <w:sz w:val="21"/>
          <w:szCs w:val="21"/>
        </w:rPr>
        <w:t>j</w:t>
      </w:r>
      <w:r w:rsidR="00BC36F5" w:rsidRPr="00A911BB">
        <w:rPr>
          <w:rFonts w:ascii="Roboto Light" w:hAnsi="Roboto Light" w:cs="Arial"/>
          <w:color w:val="202426"/>
          <w:sz w:val="21"/>
          <w:szCs w:val="21"/>
        </w:rPr>
        <w:t xml:space="preserve"> required additional hospital care).</w:t>
      </w:r>
      <w:r w:rsidR="001328E0" w:rsidRPr="00A911BB">
        <w:rPr>
          <w:rFonts w:ascii="Roboto Light" w:hAnsi="Roboto Light" w:cs="Arial"/>
          <w:color w:val="202426"/>
          <w:sz w:val="21"/>
          <w:szCs w:val="21"/>
        </w:rPr>
        <w:t xml:space="preserve"> </w:t>
      </w:r>
    </w:p>
    <w:p w14:paraId="1225848A" w14:textId="67F4144D" w:rsidR="00B601FE" w:rsidRPr="00A911BB" w:rsidRDefault="00B601FE" w:rsidP="00FF2D59">
      <w:pPr>
        <w:rPr>
          <w:rFonts w:ascii="Roboto Light" w:hAnsi="Roboto Light" w:cs="Arial"/>
          <w:color w:val="202426"/>
          <w:sz w:val="21"/>
          <w:szCs w:val="21"/>
        </w:rPr>
      </w:pPr>
      <w:r w:rsidRPr="00A911BB">
        <w:rPr>
          <w:rFonts w:ascii="Roboto Light" w:hAnsi="Roboto Light" w:cs="Arial"/>
          <w:color w:val="202426"/>
          <w:sz w:val="21"/>
          <w:szCs w:val="21"/>
        </w:rPr>
        <w:t xml:space="preserve">ODRS is by design a competitive market, such that if many products are included, it would drive the reward rate down. If the reward rate is perceived as too low by firms, then they will not seek to have their products included in it, so that the rewards should not fall to an unacceptable level. There would also be provisions allowing firms to exit ODRS if rewards fell below a pre-specified threshold. </w:t>
      </w:r>
    </w:p>
    <w:p w14:paraId="38C946CC" w14:textId="4AEE2358" w:rsidR="006275EA" w:rsidRPr="00A911BB" w:rsidRDefault="006275EA" w:rsidP="006275EA">
      <w:pPr>
        <w:pStyle w:val="Heading2"/>
        <w:rPr>
          <w:rFonts w:ascii="Roboto" w:hAnsi="Roboto"/>
          <w:b w:val="0"/>
          <w:bCs w:val="0"/>
          <w:caps/>
        </w:rPr>
      </w:pPr>
      <w:r w:rsidRPr="00A911BB">
        <w:rPr>
          <w:rFonts w:ascii="Roboto" w:hAnsi="Roboto"/>
          <w:b w:val="0"/>
          <w:bCs w:val="0"/>
          <w:caps/>
        </w:rPr>
        <w:lastRenderedPageBreak/>
        <w:t xml:space="preserve">4.6 </w:t>
      </w:r>
      <w:r w:rsidR="00060B47" w:rsidRPr="00A911BB">
        <w:rPr>
          <w:rFonts w:ascii="Roboto" w:hAnsi="Roboto"/>
          <w:b w:val="0"/>
          <w:bCs w:val="0"/>
          <w:caps/>
        </w:rPr>
        <w:t>Budget size</w:t>
      </w:r>
    </w:p>
    <w:p w14:paraId="5F84E0B3" w14:textId="570E175E"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How large should the budget for the ODRS be? A reasonable strategy would be to set the budget as a fraction of national insured expenditures, at least as a starting point. For example, if the </w:t>
      </w:r>
      <w:r w:rsidR="00FE7A1E" w:rsidRPr="00A911BB">
        <w:rPr>
          <w:rFonts w:ascii="Roboto Light" w:hAnsi="Roboto Light" w:cs="Arial"/>
          <w:color w:val="202426"/>
          <w:sz w:val="21"/>
          <w:szCs w:val="21"/>
        </w:rPr>
        <w:t xml:space="preserve">ODRS </w:t>
      </w:r>
      <w:r w:rsidRPr="00A911BB">
        <w:rPr>
          <w:rFonts w:ascii="Roboto Light" w:hAnsi="Roboto Light" w:cs="Arial"/>
          <w:color w:val="202426"/>
          <w:sz w:val="21"/>
          <w:szCs w:val="21"/>
        </w:rPr>
        <w:t xml:space="preserve">budget were set at 20% of national </w:t>
      </w:r>
      <w:r w:rsidR="00FE7A1E" w:rsidRPr="00A911BB">
        <w:rPr>
          <w:rFonts w:ascii="Roboto Light" w:hAnsi="Roboto Light" w:cs="Arial"/>
          <w:color w:val="202426"/>
          <w:sz w:val="21"/>
          <w:szCs w:val="21"/>
        </w:rPr>
        <w:t xml:space="preserve">pharmaceutical </w:t>
      </w:r>
      <w:r w:rsidRPr="00A911BB">
        <w:rPr>
          <w:rFonts w:ascii="Roboto Light" w:hAnsi="Roboto Light" w:cs="Arial"/>
          <w:color w:val="202426"/>
          <w:sz w:val="21"/>
          <w:szCs w:val="21"/>
        </w:rPr>
        <w:t>expenditures, one could anticipate that roughly 20% of drugs would shift to this reimbursement model. A rebalancing of the</w:t>
      </w:r>
      <w:r w:rsidR="00FE7A1E" w:rsidRPr="00A911BB">
        <w:rPr>
          <w:rFonts w:ascii="Roboto Light" w:hAnsi="Roboto Light" w:cs="Arial"/>
          <w:color w:val="202426"/>
          <w:sz w:val="21"/>
          <w:szCs w:val="21"/>
        </w:rPr>
        <w:t xml:space="preserve"> budget</w:t>
      </w:r>
      <w:r w:rsidRPr="00A911BB">
        <w:rPr>
          <w:rFonts w:ascii="Roboto Light" w:hAnsi="Roboto Light" w:cs="Arial"/>
          <w:color w:val="202426"/>
          <w:sz w:val="21"/>
          <w:szCs w:val="21"/>
        </w:rPr>
        <w:t xml:space="preserve"> share of </w:t>
      </w:r>
      <w:r w:rsidR="00FE7A1E" w:rsidRPr="00A911BB">
        <w:rPr>
          <w:rFonts w:ascii="Roboto Light" w:hAnsi="Roboto Light" w:cs="Arial"/>
          <w:color w:val="202426"/>
          <w:sz w:val="21"/>
          <w:szCs w:val="21"/>
        </w:rPr>
        <w:t xml:space="preserve">the </w:t>
      </w:r>
      <w:r w:rsidRPr="00A911BB">
        <w:rPr>
          <w:rFonts w:ascii="Roboto Light" w:hAnsi="Roboto Light" w:cs="Arial"/>
          <w:color w:val="202426"/>
          <w:sz w:val="21"/>
          <w:szCs w:val="21"/>
        </w:rPr>
        <w:t xml:space="preserve">ODRS could take place over time depending on assessments of its performance. </w:t>
      </w:r>
    </w:p>
    <w:p w14:paraId="27207241" w14:textId="77777777"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4.7 </w:t>
      </w:r>
      <w:r w:rsidR="00060B47" w:rsidRPr="00A911BB">
        <w:rPr>
          <w:rFonts w:ascii="Roboto" w:hAnsi="Roboto"/>
          <w:b w:val="0"/>
          <w:bCs w:val="0"/>
          <w:caps/>
        </w:rPr>
        <w:t>Funding</w:t>
      </w:r>
    </w:p>
    <w:p w14:paraId="3CCD9BD4" w14:textId="455CE384" w:rsidR="00060B47" w:rsidRPr="00A911BB" w:rsidRDefault="00060B47" w:rsidP="00060B47">
      <w:pPr>
        <w:rPr>
          <w:rFonts w:ascii="Roboto Light" w:hAnsi="Roboto Light" w:cs="Arial"/>
          <w:color w:val="202426"/>
          <w:sz w:val="21"/>
          <w:szCs w:val="21"/>
        </w:rPr>
      </w:pPr>
      <w:r w:rsidRPr="00A911BB">
        <w:rPr>
          <w:rFonts w:ascii="Roboto Light" w:hAnsi="Roboto Light" w:cs="Arial"/>
          <w:color w:val="202426"/>
          <w:sz w:val="21"/>
          <w:szCs w:val="21"/>
        </w:rPr>
        <w:t xml:space="preserve">How should the financing for the ODRS be secured? The answer to this question depends entirely on what financing it is replacing. In the case of an integrated national health system as in England and Wales, the ODRS should be funded by the same body that provides existing drug insurance. In a mixed system, such as Germany’s, the ODRS could be funded through the existing default insurer plus a levy on each insurer proportional to its non-ODRS spend. </w:t>
      </w:r>
      <w:r w:rsidR="006275EA" w:rsidRPr="00A911BB">
        <w:rPr>
          <w:rFonts w:ascii="Roboto Light" w:hAnsi="Roboto Light" w:cs="Arial"/>
          <w:color w:val="202426"/>
          <w:sz w:val="21"/>
          <w:szCs w:val="21"/>
        </w:rPr>
        <w:t>T</w:t>
      </w:r>
      <w:r w:rsidRPr="00A911BB">
        <w:rPr>
          <w:rFonts w:ascii="Roboto Light" w:hAnsi="Roboto Light" w:cs="Arial"/>
          <w:color w:val="202426"/>
          <w:sz w:val="21"/>
          <w:szCs w:val="21"/>
        </w:rPr>
        <w:t xml:space="preserve">he levy </w:t>
      </w:r>
      <w:r w:rsidR="006275EA" w:rsidRPr="00A911BB">
        <w:rPr>
          <w:rFonts w:ascii="Roboto Light" w:hAnsi="Roboto Light" w:cs="Arial"/>
          <w:color w:val="202426"/>
          <w:sz w:val="21"/>
          <w:szCs w:val="21"/>
        </w:rPr>
        <w:t xml:space="preserve">should </w:t>
      </w:r>
      <w:r w:rsidRPr="00A911BB">
        <w:rPr>
          <w:rFonts w:ascii="Roboto Light" w:hAnsi="Roboto Light" w:cs="Arial"/>
          <w:color w:val="202426"/>
          <w:sz w:val="21"/>
          <w:szCs w:val="21"/>
        </w:rPr>
        <w:t xml:space="preserve">not be directly based on the actual share of ODRS claims originating from that insurer’s customers, since that would in effect create 100% cost pass-through. </w:t>
      </w:r>
      <w:r w:rsidR="00147A6D" w:rsidRPr="00A911BB">
        <w:rPr>
          <w:rFonts w:ascii="Roboto Light" w:hAnsi="Roboto Light" w:cs="Arial"/>
          <w:color w:val="202426"/>
          <w:sz w:val="21"/>
          <w:szCs w:val="21"/>
        </w:rPr>
        <w:t xml:space="preserve">However, </w:t>
      </w:r>
      <w:proofErr w:type="gramStart"/>
      <w:r w:rsidR="00147A6D" w:rsidRPr="00A911BB">
        <w:rPr>
          <w:rFonts w:ascii="Roboto Light" w:hAnsi="Roboto Light" w:cs="Arial"/>
          <w:color w:val="202426"/>
          <w:sz w:val="21"/>
          <w:szCs w:val="21"/>
        </w:rPr>
        <w:t>in order to</w:t>
      </w:r>
      <w:proofErr w:type="gramEnd"/>
      <w:r w:rsidR="00147A6D" w:rsidRPr="00A911BB">
        <w:rPr>
          <w:rFonts w:ascii="Roboto Light" w:hAnsi="Roboto Light" w:cs="Arial"/>
          <w:color w:val="202426"/>
          <w:sz w:val="21"/>
          <w:szCs w:val="21"/>
        </w:rPr>
        <w:t xml:space="preserve"> support efficient rewards, the ODRS should seek supplementary funding from insurers when the use of a ODRS product reduces their costs. </w:t>
      </w:r>
    </w:p>
    <w:p w14:paraId="36DFF161" w14:textId="518AA90C" w:rsidR="00060B47" w:rsidRPr="00A911BB" w:rsidRDefault="00060B47" w:rsidP="00060B47">
      <w:pPr>
        <w:rPr>
          <w:rFonts w:ascii="Roboto Light" w:hAnsi="Roboto Light" w:cs="Arial"/>
          <w:color w:val="202426"/>
          <w:sz w:val="21"/>
          <w:szCs w:val="21"/>
        </w:rPr>
      </w:pPr>
      <w:r w:rsidRPr="00A911BB">
        <w:rPr>
          <w:rFonts w:ascii="Roboto Light" w:hAnsi="Roboto Light" w:cs="Arial"/>
          <w:color w:val="202426"/>
          <w:sz w:val="21"/>
          <w:szCs w:val="21"/>
        </w:rPr>
        <w:t xml:space="preserve">An important point to consider is that the ODRS appears to result in a different distribution of the sources of funding for drugs, since </w:t>
      </w:r>
      <w:r w:rsidR="004A2B63" w:rsidRPr="00A911BB">
        <w:rPr>
          <w:rFonts w:ascii="Roboto Light" w:hAnsi="Roboto Light" w:cs="Arial"/>
          <w:color w:val="202426"/>
          <w:sz w:val="21"/>
          <w:szCs w:val="21"/>
        </w:rPr>
        <w:t xml:space="preserve">in the ODRS </w:t>
      </w:r>
      <w:r w:rsidRPr="00A911BB">
        <w:rPr>
          <w:rFonts w:ascii="Roboto Light" w:hAnsi="Roboto Light" w:cs="Arial"/>
          <w:color w:val="202426"/>
          <w:sz w:val="21"/>
          <w:szCs w:val="21"/>
        </w:rPr>
        <w:t xml:space="preserve">high prices do not fund innovation. It turns out, on closer inspection, that there is </w:t>
      </w:r>
      <w:r w:rsidR="00FE7A1E" w:rsidRPr="00A911BB">
        <w:rPr>
          <w:rFonts w:ascii="Roboto Light" w:hAnsi="Roboto Light" w:cs="Arial"/>
          <w:color w:val="202426"/>
          <w:sz w:val="21"/>
          <w:szCs w:val="21"/>
        </w:rPr>
        <w:t>no</w:t>
      </w:r>
      <w:r w:rsidRPr="00A911BB">
        <w:rPr>
          <w:rFonts w:ascii="Roboto Light" w:hAnsi="Roboto Light" w:cs="Arial"/>
          <w:color w:val="202426"/>
          <w:sz w:val="21"/>
          <w:szCs w:val="21"/>
        </w:rPr>
        <w:t xml:space="preserve"> significant change</w:t>
      </w:r>
      <w:r w:rsidR="006275EA" w:rsidRPr="00A911BB">
        <w:rPr>
          <w:rFonts w:ascii="Roboto Light" w:hAnsi="Roboto Light" w:cs="Arial"/>
          <w:color w:val="202426"/>
          <w:sz w:val="21"/>
          <w:szCs w:val="21"/>
        </w:rPr>
        <w:t xml:space="preserve"> to the sources of funding compared to existing systems</w:t>
      </w:r>
      <w:r w:rsidRPr="00A911BB">
        <w:rPr>
          <w:rFonts w:ascii="Roboto Light" w:hAnsi="Roboto Light" w:cs="Arial"/>
          <w:color w:val="202426"/>
          <w:sz w:val="21"/>
          <w:szCs w:val="21"/>
        </w:rPr>
        <w:t xml:space="preserve">. Out-of-pocket payments for pharmaceuticals in OECD countries average </w:t>
      </w:r>
      <w:r w:rsidR="006275EA" w:rsidRPr="00A911BB">
        <w:rPr>
          <w:rFonts w:ascii="Roboto Light" w:hAnsi="Roboto Light" w:cs="Arial"/>
          <w:color w:val="202426"/>
          <w:sz w:val="21"/>
          <w:szCs w:val="21"/>
        </w:rPr>
        <w:t xml:space="preserve">only </w:t>
      </w:r>
      <w:r w:rsidRPr="00A911BB">
        <w:rPr>
          <w:rFonts w:ascii="Roboto Light" w:hAnsi="Roboto Light" w:cs="Arial"/>
          <w:color w:val="202426"/>
          <w:sz w:val="21"/>
          <w:szCs w:val="21"/>
        </w:rPr>
        <w:t xml:space="preserve">about 20%, </w:t>
      </w:r>
      <w:r w:rsidR="006275EA" w:rsidRPr="00A911BB">
        <w:rPr>
          <w:rFonts w:ascii="Roboto Light" w:hAnsi="Roboto Light" w:cs="Arial"/>
          <w:color w:val="202426"/>
          <w:sz w:val="21"/>
          <w:szCs w:val="21"/>
        </w:rPr>
        <w:t>with</w:t>
      </w:r>
      <w:r w:rsidRPr="00A911BB">
        <w:rPr>
          <w:rFonts w:ascii="Roboto Light" w:hAnsi="Roboto Light" w:cs="Arial"/>
          <w:color w:val="202426"/>
          <w:sz w:val="21"/>
          <w:szCs w:val="21"/>
        </w:rPr>
        <w:t xml:space="preserve"> the other 80% </w:t>
      </w:r>
      <w:r w:rsidR="006275EA" w:rsidRPr="00A911BB">
        <w:rPr>
          <w:rFonts w:ascii="Roboto Light" w:hAnsi="Roboto Light" w:cs="Arial"/>
          <w:color w:val="202426"/>
          <w:sz w:val="21"/>
          <w:szCs w:val="21"/>
        </w:rPr>
        <w:t>coming</w:t>
      </w:r>
      <w:r w:rsidRPr="00A911BB">
        <w:rPr>
          <w:rFonts w:ascii="Roboto Light" w:hAnsi="Roboto Light" w:cs="Arial"/>
          <w:color w:val="202426"/>
          <w:sz w:val="21"/>
          <w:szCs w:val="21"/>
        </w:rPr>
        <w:t xml:space="preserve"> from state or private insurance.</w:t>
      </w:r>
      <w:r w:rsidR="006275EA" w:rsidRPr="00A911BB">
        <w:rPr>
          <w:rFonts w:ascii="Roboto Light" w:hAnsi="Roboto Light" w:cs="Arial"/>
          <w:color w:val="202426"/>
          <w:sz w:val="21"/>
          <w:szCs w:val="21"/>
        </w:rPr>
        <w:fldChar w:fldCharType="begin" w:fldLock="1"/>
      </w:r>
      <w:r w:rsidR="00946275" w:rsidRPr="00A911BB">
        <w:rPr>
          <w:rFonts w:ascii="Roboto Light" w:hAnsi="Roboto Light" w:cs="Arial"/>
          <w:color w:val="202426"/>
          <w:sz w:val="21"/>
          <w:szCs w:val="21"/>
        </w:rPr>
        <w:instrText>ADDIN CSL_CITATION {"citationItems":[{"id":"ITEM-1","itemData":{"author":[{"dropping-particle":"","family":"OECD Health Statistics","given":"","non-dropping-particle":"","parse-names":false,"suffix":""}],"id":"ITEM-1","issued":{"date-parts":[["2019"]]},"title":"Focus on out-of-pocket spending: access to care and financial protection.","type":"report"},"uris":["http://www.mendeley.com/documents/?uuid=a11cbd63-52a6-49cd-991d-f195436e05b9"]}],"mendeley":{"formattedCitation":"(29)","plainTextFormattedCitation":"(29)","previouslyFormattedCitation":"(29)"},"properties":{"noteIndex":0},"schema":"https://github.com/citation-style-language/schema/raw/master/csl-citation.json"}</w:instrText>
      </w:r>
      <w:r w:rsidR="006275EA" w:rsidRPr="00A911BB">
        <w:rPr>
          <w:rFonts w:ascii="Roboto Light" w:hAnsi="Roboto Light" w:cs="Arial"/>
          <w:color w:val="202426"/>
          <w:sz w:val="21"/>
          <w:szCs w:val="21"/>
        </w:rPr>
        <w:fldChar w:fldCharType="separate"/>
      </w:r>
      <w:r w:rsidR="009F3FB1" w:rsidRPr="00A911BB">
        <w:rPr>
          <w:rFonts w:ascii="Roboto Light" w:hAnsi="Roboto Light" w:cs="Arial"/>
          <w:noProof/>
          <w:color w:val="202426"/>
          <w:sz w:val="21"/>
          <w:szCs w:val="21"/>
        </w:rPr>
        <w:t>(29)</w:t>
      </w:r>
      <w:r w:rsidR="006275EA" w:rsidRPr="00A911BB">
        <w:rPr>
          <w:rFonts w:ascii="Roboto Light" w:hAnsi="Roboto Light" w:cs="Arial"/>
          <w:color w:val="202426"/>
          <w:sz w:val="21"/>
          <w:szCs w:val="21"/>
        </w:rPr>
        <w:fldChar w:fldCharType="end"/>
      </w:r>
      <w:r w:rsidRPr="00A911BB">
        <w:rPr>
          <w:rFonts w:ascii="Roboto Light" w:hAnsi="Roboto Light" w:cs="Arial"/>
          <w:color w:val="202426"/>
          <w:sz w:val="21"/>
          <w:szCs w:val="21"/>
        </w:rPr>
        <w:t xml:space="preserve"> Since the ODRS’s reward payments could be funded through a levy on existing insurance institutions, whether state or private, and the sales would be paid for in the ordinary course through a combination of existing insurance or out-of-pocket, the existing funding shares would be largely preserved. </w:t>
      </w:r>
    </w:p>
    <w:p w14:paraId="4D3B2344" w14:textId="3A665311" w:rsidR="008C05F9" w:rsidRPr="00A911BB" w:rsidRDefault="008C05F9" w:rsidP="00060B47">
      <w:pPr>
        <w:rPr>
          <w:rFonts w:ascii="Roboto Light" w:hAnsi="Roboto Light" w:cs="Arial"/>
          <w:color w:val="202426"/>
          <w:sz w:val="21"/>
          <w:szCs w:val="21"/>
        </w:rPr>
      </w:pPr>
      <w:r w:rsidRPr="00A911BB">
        <w:rPr>
          <w:rFonts w:ascii="Roboto Light" w:hAnsi="Roboto Light" w:cs="Arial"/>
          <w:color w:val="202426"/>
          <w:sz w:val="21"/>
          <w:szCs w:val="21"/>
        </w:rPr>
        <w:t>Because the ODRS acts as a backstop in negotiations with the insurer, the budget is very important.</w:t>
      </w:r>
      <w:r w:rsidR="00A9624D" w:rsidRPr="00A911BB">
        <w:rPr>
          <w:rFonts w:ascii="Roboto Light" w:hAnsi="Roboto Light" w:cs="Arial"/>
          <w:color w:val="202426"/>
          <w:sz w:val="21"/>
          <w:szCs w:val="21"/>
        </w:rPr>
        <w:t xml:space="preserve"> </w:t>
      </w:r>
      <w:r w:rsidR="00C550A1" w:rsidRPr="00A911BB">
        <w:rPr>
          <w:rFonts w:ascii="Roboto Light" w:hAnsi="Roboto Light" w:cs="Arial"/>
          <w:color w:val="202426"/>
          <w:sz w:val="21"/>
          <w:szCs w:val="21"/>
        </w:rPr>
        <w:t xml:space="preserve">The budget will help to determine the reward rate, which will increase if the budget increases (subject to a maximum of </w:t>
      </w:r>
      <m:oMath>
        <m:acc>
          <m:accPr>
            <m:chr m:val="̅"/>
            <m:ctrlPr>
              <w:rPr>
                <w:rFonts w:ascii="Cambria Math" w:hAnsi="Cambria Math" w:cs="Arial"/>
                <w:i/>
                <w:color w:val="202426"/>
                <w:sz w:val="21"/>
                <w:szCs w:val="21"/>
              </w:rPr>
            </m:ctrlPr>
          </m:accPr>
          <m:e>
            <m:r>
              <w:rPr>
                <w:rFonts w:ascii="Cambria Math" w:hAnsi="Cambria Math" w:cs="Arial"/>
                <w:color w:val="202426"/>
                <w:sz w:val="21"/>
                <w:szCs w:val="21"/>
              </w:rPr>
              <m:t>r</m:t>
            </m:r>
          </m:e>
        </m:acc>
      </m:oMath>
      <w:r w:rsidR="00C550A1" w:rsidRPr="00A911BB">
        <w:rPr>
          <w:rFonts w:ascii="Roboto Light" w:hAnsi="Roboto Light" w:cs="Arial"/>
          <w:color w:val="202426"/>
          <w:sz w:val="21"/>
          <w:szCs w:val="21"/>
        </w:rPr>
        <w:t>).</w:t>
      </w:r>
      <w:r w:rsidRPr="00A911BB">
        <w:rPr>
          <w:rFonts w:ascii="Roboto Light" w:hAnsi="Roboto Light" w:cs="Arial"/>
          <w:color w:val="202426"/>
          <w:sz w:val="21"/>
          <w:szCs w:val="21"/>
        </w:rPr>
        <w:t xml:space="preserve"> If </w:t>
      </w:r>
      <w:r w:rsidR="00C550A1" w:rsidRPr="00A911BB">
        <w:rPr>
          <w:rFonts w:ascii="Roboto Light" w:hAnsi="Roboto Light" w:cs="Arial"/>
          <w:color w:val="202426"/>
          <w:sz w:val="21"/>
          <w:szCs w:val="21"/>
        </w:rPr>
        <w:t xml:space="preserve">the budget is </w:t>
      </w:r>
      <w:r w:rsidRPr="00A911BB">
        <w:rPr>
          <w:rFonts w:ascii="Roboto Light" w:hAnsi="Roboto Light" w:cs="Arial"/>
          <w:color w:val="202426"/>
          <w:sz w:val="21"/>
          <w:szCs w:val="21"/>
        </w:rPr>
        <w:t xml:space="preserve">too high, then firms will find negotiation with the insurer pointless. If too low, the reward rate will offer little protection to firms. Ultimately the budget should be set so that the reward rate is </w:t>
      </w:r>
      <w:proofErr w:type="gramStart"/>
      <w:r w:rsidRPr="00A911BB">
        <w:rPr>
          <w:rFonts w:ascii="Roboto Light" w:hAnsi="Roboto Light" w:cs="Arial"/>
          <w:color w:val="202426"/>
          <w:sz w:val="21"/>
          <w:szCs w:val="21"/>
        </w:rPr>
        <w:t>similar to</w:t>
      </w:r>
      <w:proofErr w:type="gramEnd"/>
      <w:r w:rsidRPr="00A911BB">
        <w:rPr>
          <w:rFonts w:ascii="Roboto Light" w:hAnsi="Roboto Light" w:cs="Arial"/>
          <w:color w:val="202426"/>
          <w:sz w:val="21"/>
          <w:szCs w:val="21"/>
        </w:rPr>
        <w:t xml:space="preserve"> the typical effective payment per QALY in the absence of the ODRS. This would mean that it creates an option when negotiations about prospective value are unfruitful. </w:t>
      </w:r>
    </w:p>
    <w:p w14:paraId="587B1036" w14:textId="7D7CF2FE" w:rsidR="006275EA" w:rsidRPr="00A911BB" w:rsidRDefault="006275EA" w:rsidP="006275EA">
      <w:pPr>
        <w:pStyle w:val="Heading2"/>
        <w:rPr>
          <w:rFonts w:ascii="Roboto" w:hAnsi="Roboto"/>
          <w:b w:val="0"/>
          <w:bCs w:val="0"/>
          <w:caps/>
        </w:rPr>
      </w:pPr>
      <w:r w:rsidRPr="00A911BB">
        <w:rPr>
          <w:rFonts w:ascii="Roboto" w:hAnsi="Roboto"/>
          <w:b w:val="0"/>
          <w:bCs w:val="0"/>
          <w:caps/>
        </w:rPr>
        <w:t xml:space="preserve">4.8 </w:t>
      </w:r>
      <w:r w:rsidR="00060B47" w:rsidRPr="00A911BB">
        <w:rPr>
          <w:rFonts w:ascii="Roboto" w:hAnsi="Roboto"/>
          <w:b w:val="0"/>
          <w:bCs w:val="0"/>
          <w:caps/>
        </w:rPr>
        <w:t>Initiation</w:t>
      </w:r>
    </w:p>
    <w:p w14:paraId="14BF6A3B" w14:textId="1A75961D"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One challenge for initiating the ODRS is that firms would likely be hesitant to commit to the system given uncertainty about the reward rate. One way to address this is to fix the reward rate for the first products in the system so that predictable payments would use up</w:t>
      </w:r>
      <w:r w:rsidR="0053776D" w:rsidRPr="00A911BB">
        <w:rPr>
          <w:rFonts w:ascii="Roboto Light" w:hAnsi="Roboto Light" w:cs="Arial"/>
          <w:color w:val="202426"/>
          <w:sz w:val="21"/>
          <w:szCs w:val="21"/>
        </w:rPr>
        <w:t xml:space="preserve"> </w:t>
      </w:r>
      <w:r w:rsidRPr="00A911BB">
        <w:rPr>
          <w:rFonts w:ascii="Roboto Light" w:hAnsi="Roboto Light" w:cs="Arial"/>
          <w:color w:val="202426"/>
          <w:sz w:val="21"/>
          <w:szCs w:val="21"/>
        </w:rPr>
        <w:t xml:space="preserve">a maximum of </w:t>
      </w:r>
      <w:proofErr w:type="gramStart"/>
      <w:r w:rsidR="0053776D" w:rsidRPr="00A911BB">
        <w:rPr>
          <w:rFonts w:ascii="Roboto Light" w:hAnsi="Roboto Light" w:cs="Arial"/>
          <w:i/>
          <w:iCs/>
          <w:color w:val="202426"/>
          <w:sz w:val="21"/>
          <w:szCs w:val="21"/>
        </w:rPr>
        <w:t>e.g.</w:t>
      </w:r>
      <w:proofErr w:type="gramEnd"/>
      <w:r w:rsidR="0053776D" w:rsidRPr="00A911BB">
        <w:rPr>
          <w:rFonts w:ascii="Roboto Light" w:hAnsi="Roboto Light" w:cs="Arial"/>
          <w:color w:val="202426"/>
          <w:sz w:val="21"/>
          <w:szCs w:val="21"/>
        </w:rPr>
        <w:t xml:space="preserve"> </w:t>
      </w:r>
      <w:r w:rsidRPr="00A911BB">
        <w:rPr>
          <w:rFonts w:ascii="Roboto Light" w:hAnsi="Roboto Light" w:cs="Arial"/>
          <w:color w:val="202426"/>
          <w:sz w:val="21"/>
          <w:szCs w:val="21"/>
        </w:rPr>
        <w:t>70% of the budget, and to allow the remaining budget to be divided competitively. Over time, the share of the budget allocated to fixed reward</w:t>
      </w:r>
      <w:r w:rsidR="0053776D" w:rsidRPr="00A911BB">
        <w:rPr>
          <w:rFonts w:ascii="Roboto Light" w:hAnsi="Roboto Light" w:cs="Arial"/>
          <w:color w:val="202426"/>
          <w:sz w:val="21"/>
          <w:szCs w:val="21"/>
        </w:rPr>
        <w:t>s</w:t>
      </w:r>
      <w:r w:rsidRPr="00A911BB">
        <w:rPr>
          <w:rFonts w:ascii="Roboto Light" w:hAnsi="Roboto Light" w:cs="Arial"/>
          <w:color w:val="202426"/>
          <w:sz w:val="21"/>
          <w:szCs w:val="21"/>
        </w:rPr>
        <w:t xml:space="preserve"> could be reduced to zero. Firms would be more comfortable with the ODRS if they had observed a stable reward rate. </w:t>
      </w:r>
    </w:p>
    <w:p w14:paraId="0E5B203F" w14:textId="7B45C92E" w:rsidR="00FF2D59" w:rsidRPr="00382EEF" w:rsidRDefault="0060144C"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lastRenderedPageBreak/>
        <w:t xml:space="preserve">5. What products would </w:t>
      </w:r>
      <w:r w:rsidR="008C05F9" w:rsidRPr="00382EEF">
        <w:rPr>
          <w:rFonts w:ascii="Roboto" w:hAnsi="Roboto"/>
          <w:b w:val="0"/>
          <w:bCs w:val="0"/>
          <w:caps/>
          <w:color w:val="EB2E3D"/>
          <w:sz w:val="26"/>
          <w:szCs w:val="26"/>
          <w:u w:val="none"/>
        </w:rPr>
        <w:t>suit</w:t>
      </w:r>
      <w:r w:rsidRPr="00382EEF">
        <w:rPr>
          <w:rFonts w:ascii="Roboto" w:hAnsi="Roboto"/>
          <w:b w:val="0"/>
          <w:bCs w:val="0"/>
          <w:caps/>
          <w:color w:val="EB2E3D"/>
          <w:sz w:val="26"/>
          <w:szCs w:val="26"/>
          <w:u w:val="none"/>
        </w:rPr>
        <w:t xml:space="preserve"> the ODRS?</w:t>
      </w:r>
    </w:p>
    <w:p w14:paraId="50F07927" w14:textId="00EDC5D8" w:rsidR="0060144C" w:rsidRPr="00A911BB" w:rsidRDefault="0060144C" w:rsidP="00FF2D59">
      <w:pPr>
        <w:rPr>
          <w:rFonts w:ascii="Roboto Light" w:hAnsi="Roboto Light" w:cs="Arial"/>
          <w:color w:val="202426"/>
          <w:sz w:val="21"/>
          <w:szCs w:val="21"/>
        </w:rPr>
      </w:pPr>
      <w:r w:rsidRPr="00A911BB">
        <w:rPr>
          <w:rFonts w:ascii="Roboto Light" w:hAnsi="Roboto Light" w:cs="Arial"/>
          <w:color w:val="202426"/>
          <w:sz w:val="21"/>
          <w:szCs w:val="21"/>
        </w:rPr>
        <w:t xml:space="preserve">Since the ODRS is not intended to be universal, it is important to consider what kinds of products would be selected for it. Of course, in general, the option would be left up to the patentee, so at most one can identify what are the incentives to enter this system. What should be clear, based on the discussion in Sections 3 and 4, is that some types of products would be </w:t>
      </w:r>
      <w:r w:rsidR="00D6227D" w:rsidRPr="00A911BB">
        <w:rPr>
          <w:rFonts w:ascii="Roboto Light" w:hAnsi="Roboto Light" w:cs="Arial"/>
          <w:color w:val="202426"/>
          <w:sz w:val="21"/>
          <w:szCs w:val="21"/>
        </w:rPr>
        <w:t xml:space="preserve">a </w:t>
      </w:r>
      <w:r w:rsidRPr="00A911BB">
        <w:rPr>
          <w:rFonts w:ascii="Roboto Light" w:hAnsi="Roboto Light" w:cs="Arial"/>
          <w:color w:val="202426"/>
          <w:sz w:val="21"/>
          <w:szCs w:val="21"/>
        </w:rPr>
        <w:t xml:space="preserve">poor match: </w:t>
      </w:r>
      <w:r w:rsidR="00147A6D" w:rsidRPr="00A911BB">
        <w:rPr>
          <w:rFonts w:ascii="Roboto Light" w:hAnsi="Roboto Light" w:cs="Arial"/>
          <w:color w:val="202426"/>
          <w:sz w:val="21"/>
          <w:szCs w:val="21"/>
        </w:rPr>
        <w:t>for example, products that mainly increased patient convenience without conferring meaningful health benefits would not be adequate</w:t>
      </w:r>
      <w:r w:rsidR="0053681C" w:rsidRPr="00A911BB">
        <w:rPr>
          <w:rFonts w:ascii="Roboto Light" w:hAnsi="Roboto Light" w:cs="Arial"/>
          <w:color w:val="202426"/>
          <w:sz w:val="21"/>
          <w:szCs w:val="21"/>
        </w:rPr>
        <w:t>ly</w:t>
      </w:r>
      <w:r w:rsidR="00147A6D" w:rsidRPr="00A911BB">
        <w:rPr>
          <w:rFonts w:ascii="Roboto Light" w:hAnsi="Roboto Light" w:cs="Arial"/>
          <w:color w:val="202426"/>
          <w:sz w:val="21"/>
          <w:szCs w:val="21"/>
        </w:rPr>
        <w:t xml:space="preserve"> rewarded under the ODRS. </w:t>
      </w:r>
    </w:p>
    <w:p w14:paraId="4AB2A9AD" w14:textId="493917D2" w:rsidR="00D6227D" w:rsidRPr="00A911BB" w:rsidRDefault="00147A6D" w:rsidP="00FF2D59">
      <w:pPr>
        <w:rPr>
          <w:rFonts w:ascii="Roboto Light" w:hAnsi="Roboto Light" w:cs="Arial"/>
          <w:color w:val="202426"/>
          <w:sz w:val="21"/>
          <w:szCs w:val="21"/>
        </w:rPr>
      </w:pPr>
      <w:r w:rsidRPr="00A911BB">
        <w:rPr>
          <w:rFonts w:ascii="Roboto Light" w:hAnsi="Roboto Light" w:cs="Arial"/>
          <w:color w:val="202426"/>
          <w:sz w:val="21"/>
          <w:szCs w:val="21"/>
        </w:rPr>
        <w:t>Products that would particularly benefit</w:t>
      </w:r>
      <w:r w:rsidR="00917A5C" w:rsidRPr="00A911BB">
        <w:rPr>
          <w:rFonts w:ascii="Roboto Light" w:hAnsi="Roboto Light" w:cs="Arial"/>
          <w:color w:val="202426"/>
          <w:sz w:val="21"/>
          <w:szCs w:val="21"/>
        </w:rPr>
        <w:t xml:space="preserve"> from the ODRS</w:t>
      </w:r>
      <w:r w:rsidRPr="00A911BB">
        <w:rPr>
          <w:rFonts w:ascii="Roboto Light" w:hAnsi="Roboto Light" w:cs="Arial"/>
          <w:color w:val="202426"/>
          <w:sz w:val="21"/>
          <w:szCs w:val="21"/>
        </w:rPr>
        <w:t xml:space="preserve"> are those for which there is considerable uncertainty </w:t>
      </w:r>
      <w:r w:rsidR="008C05F9" w:rsidRPr="00A911BB">
        <w:rPr>
          <w:rFonts w:ascii="Roboto Light" w:hAnsi="Roboto Light" w:cs="Arial"/>
          <w:color w:val="202426"/>
          <w:sz w:val="21"/>
          <w:szCs w:val="21"/>
        </w:rPr>
        <w:t xml:space="preserve">about likely effects at the time of market introduction. This would certainly be the case given that when there is significant uncertainty, the HTA and price negotiation processes are likely to be slow and entry could be delayed. </w:t>
      </w:r>
    </w:p>
    <w:p w14:paraId="01A8C779" w14:textId="381E3313" w:rsidR="0053681C" w:rsidRPr="00A911BB" w:rsidRDefault="0053681C" w:rsidP="00FF2D59">
      <w:pPr>
        <w:rPr>
          <w:rFonts w:ascii="Roboto Light" w:hAnsi="Roboto Light" w:cs="Arial"/>
          <w:color w:val="202426"/>
          <w:sz w:val="21"/>
          <w:szCs w:val="21"/>
        </w:rPr>
      </w:pPr>
      <w:r w:rsidRPr="00A911BB">
        <w:rPr>
          <w:rFonts w:ascii="Roboto Light" w:hAnsi="Roboto Light" w:cs="Arial"/>
          <w:color w:val="202426"/>
          <w:sz w:val="21"/>
          <w:szCs w:val="21"/>
        </w:rPr>
        <w:t>Products in therapeutic areas where long clinical trials are required might find the ODRS the only route to commercial feasibility</w:t>
      </w:r>
      <w:r w:rsidR="00D6227D" w:rsidRPr="00A911BB">
        <w:rPr>
          <w:rFonts w:ascii="Roboto Light" w:hAnsi="Roboto Light" w:cs="Arial"/>
          <w:color w:val="202426"/>
          <w:sz w:val="21"/>
          <w:szCs w:val="21"/>
        </w:rPr>
        <w:t xml:space="preserve">. </w:t>
      </w:r>
      <w:r w:rsidR="008C05F9" w:rsidRPr="00A911BB">
        <w:rPr>
          <w:rFonts w:ascii="Roboto Light" w:hAnsi="Roboto Light" w:cs="Arial"/>
          <w:color w:val="202426"/>
          <w:sz w:val="21"/>
          <w:szCs w:val="21"/>
        </w:rPr>
        <w:t>Similarly, the ODRS model for reimbursement of late-arriving secondary indications would likely be attractive.</w:t>
      </w:r>
      <w:r w:rsidR="00D6227D" w:rsidRPr="00A911BB">
        <w:rPr>
          <w:rFonts w:ascii="Roboto Light" w:hAnsi="Roboto Light" w:cs="Arial"/>
          <w:color w:val="202426"/>
          <w:sz w:val="21"/>
          <w:szCs w:val="21"/>
        </w:rPr>
        <w:t xml:space="preserve"> Generally, products in classes with traditionally low reimbursement but meaningful health benefits may find the ODRS appealing.</w:t>
      </w:r>
    </w:p>
    <w:p w14:paraId="6FCE56DC" w14:textId="0599C9C7" w:rsidR="00FF2D59" w:rsidRPr="00A911BB" w:rsidRDefault="008C05F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In other circumstances, the ODRS might serve as a backstop in case of negotiation breakdown, enabling an innovator to hold firm on price, </w:t>
      </w:r>
      <w:proofErr w:type="gramStart"/>
      <w:r w:rsidRPr="00A911BB">
        <w:rPr>
          <w:rFonts w:ascii="Roboto Light" w:hAnsi="Roboto Light" w:cs="Arial"/>
          <w:color w:val="202426"/>
          <w:sz w:val="21"/>
          <w:szCs w:val="21"/>
        </w:rPr>
        <w:t>whether or not</w:t>
      </w:r>
      <w:proofErr w:type="gramEnd"/>
      <w:r w:rsidRPr="00A911BB">
        <w:rPr>
          <w:rFonts w:ascii="Roboto Light" w:hAnsi="Roboto Light" w:cs="Arial"/>
          <w:color w:val="202426"/>
          <w:sz w:val="21"/>
          <w:szCs w:val="21"/>
        </w:rPr>
        <w:t xml:space="preserve"> it </w:t>
      </w:r>
      <w:r w:rsidR="00D6227D" w:rsidRPr="00A911BB">
        <w:rPr>
          <w:rFonts w:ascii="Roboto Light" w:hAnsi="Roboto Light" w:cs="Arial"/>
          <w:color w:val="202426"/>
          <w:sz w:val="21"/>
          <w:szCs w:val="21"/>
        </w:rPr>
        <w:t>eventually chose to be</w:t>
      </w:r>
      <w:r w:rsidRPr="00A911BB">
        <w:rPr>
          <w:rFonts w:ascii="Roboto Light" w:hAnsi="Roboto Light" w:cs="Arial"/>
          <w:color w:val="202426"/>
          <w:sz w:val="21"/>
          <w:szCs w:val="21"/>
        </w:rPr>
        <w:t xml:space="preserve"> reimbursed under the ODRS. </w:t>
      </w:r>
    </w:p>
    <w:p w14:paraId="7D7AD33A" w14:textId="586BFDEA" w:rsidR="00FF2D59" w:rsidRPr="00382EEF" w:rsidRDefault="008C05F9"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 xml:space="preserve">6. </w:t>
      </w:r>
      <w:r w:rsidR="00FF2D59" w:rsidRPr="00382EEF">
        <w:rPr>
          <w:rFonts w:ascii="Roboto" w:hAnsi="Roboto"/>
          <w:b w:val="0"/>
          <w:bCs w:val="0"/>
          <w:caps/>
          <w:color w:val="EB2E3D"/>
          <w:sz w:val="26"/>
          <w:szCs w:val="26"/>
          <w:u w:val="none"/>
        </w:rPr>
        <w:t>International aspects</w:t>
      </w:r>
    </w:p>
    <w:p w14:paraId="6C064610" w14:textId="73DC35D1"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A key feature of the ODRS is that it can be extended internationally. One of the failures of our current system is that prices are often quite similar across countries with very different abilit</w:t>
      </w:r>
      <w:r w:rsidR="0053776D" w:rsidRPr="00A911BB">
        <w:rPr>
          <w:rFonts w:ascii="Roboto Light" w:hAnsi="Roboto Light" w:cs="Arial"/>
          <w:color w:val="202426"/>
          <w:sz w:val="21"/>
          <w:szCs w:val="21"/>
        </w:rPr>
        <w:t>ies</w:t>
      </w:r>
      <w:r w:rsidRPr="00A911BB">
        <w:rPr>
          <w:rFonts w:ascii="Roboto Light" w:hAnsi="Roboto Light" w:cs="Arial"/>
          <w:color w:val="202426"/>
          <w:sz w:val="21"/>
          <w:szCs w:val="21"/>
        </w:rPr>
        <w:t xml:space="preserve"> to pay. This is not due to the underlying costs of manufacture, which are usually very low compared to the price, but to </w:t>
      </w:r>
      <w:r w:rsidRPr="00A911BB">
        <w:rPr>
          <w:rFonts w:ascii="Roboto Medium" w:hAnsi="Roboto Medium" w:cs="Arial"/>
          <w:color w:val="202426"/>
          <w:sz w:val="21"/>
          <w:szCs w:val="21"/>
        </w:rPr>
        <w:t>concerns around arbitrage and external price referencing</w:t>
      </w:r>
      <w:r w:rsidRPr="00A911BB">
        <w:rPr>
          <w:rFonts w:ascii="Roboto Light" w:hAnsi="Roboto Light" w:cs="Arial"/>
          <w:color w:val="202426"/>
          <w:sz w:val="21"/>
          <w:szCs w:val="21"/>
        </w:rPr>
        <w:t xml:space="preserve">. The inability to fully price-discriminate internationally is bad for patients in poorer countries and for the profits of innovators. (It may, under certain circumstances, be good for payers in wealthy countries.) Just within Europe, charging similar prices in Romania and Germany may be difficult to avoid given EU regulations and the short distances involved, but does not respect the very different financial capacities of the countries. This problem could be entirely solved with the ODRS, as the price in both countries would be equalized at a low level, with each country paying a reward to the patentee based on assessed health benefits. The level of the reward payment, however, might be very different based on the financial capacity of the country. </w:t>
      </w:r>
    </w:p>
    <w:p w14:paraId="155E435C" w14:textId="77777777" w:rsidR="0053776D"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A </w:t>
      </w:r>
      <w:r w:rsidRPr="00A911BB">
        <w:rPr>
          <w:rFonts w:ascii="Roboto Medium" w:hAnsi="Roboto Medium" w:cs="Arial"/>
          <w:color w:val="202426"/>
          <w:sz w:val="21"/>
          <w:szCs w:val="21"/>
        </w:rPr>
        <w:t>global ODRS</w:t>
      </w:r>
      <w:r w:rsidRPr="00A911BB">
        <w:rPr>
          <w:rFonts w:ascii="Roboto Light" w:hAnsi="Roboto Light" w:cs="Arial"/>
          <w:color w:val="202426"/>
          <w:sz w:val="21"/>
          <w:szCs w:val="21"/>
        </w:rPr>
        <w:t xml:space="preserve"> would involve a single pool, with the reward allocation based on health benefits across all participating countries summed without regard to the patient’s country. This would transform the incentives to invest in diseases that are </w:t>
      </w:r>
      <w:r w:rsidR="0053776D" w:rsidRPr="00A911BB">
        <w:rPr>
          <w:rFonts w:ascii="Roboto Light" w:hAnsi="Roboto Light" w:cs="Arial"/>
          <w:color w:val="202426"/>
          <w:sz w:val="21"/>
          <w:szCs w:val="21"/>
        </w:rPr>
        <w:t>chiefly</w:t>
      </w:r>
      <w:r w:rsidRPr="00A911BB">
        <w:rPr>
          <w:rFonts w:ascii="Roboto Light" w:hAnsi="Roboto Light" w:cs="Arial"/>
          <w:color w:val="202426"/>
          <w:sz w:val="21"/>
          <w:szCs w:val="21"/>
        </w:rPr>
        <w:t xml:space="preserve"> prevalent among very poor people. </w:t>
      </w:r>
    </w:p>
    <w:p w14:paraId="635F067A" w14:textId="081128FE"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As is well known, there is relatively little R&amp;D focused on the </w:t>
      </w:r>
      <w:r w:rsidRPr="00A911BB">
        <w:rPr>
          <w:rFonts w:ascii="Roboto Medium" w:hAnsi="Roboto Medium" w:cs="Arial"/>
          <w:color w:val="202426"/>
          <w:sz w:val="21"/>
          <w:szCs w:val="21"/>
        </w:rPr>
        <w:t>diseases of poverty</w:t>
      </w:r>
      <w:r w:rsidRPr="00A911BB">
        <w:rPr>
          <w:rFonts w:ascii="Roboto Light" w:hAnsi="Roboto Light" w:cs="Arial"/>
          <w:color w:val="202426"/>
          <w:sz w:val="21"/>
          <w:szCs w:val="21"/>
        </w:rPr>
        <w:t xml:space="preserve">, presumably because poor people’s effective demand is weak. The lack of attention to neglected diseases by “big pharma” is shared by governments, which tend to focus their </w:t>
      </w:r>
      <w:r w:rsidR="00946275" w:rsidRPr="00A911BB">
        <w:rPr>
          <w:rFonts w:ascii="Roboto Light" w:hAnsi="Roboto Light" w:cs="Arial"/>
          <w:color w:val="202426"/>
          <w:sz w:val="21"/>
          <w:szCs w:val="21"/>
        </w:rPr>
        <w:t xml:space="preserve">research </w:t>
      </w:r>
      <w:r w:rsidRPr="00A911BB">
        <w:rPr>
          <w:rFonts w:ascii="Roboto Light" w:hAnsi="Roboto Light" w:cs="Arial"/>
          <w:color w:val="202426"/>
          <w:sz w:val="21"/>
          <w:szCs w:val="21"/>
        </w:rPr>
        <w:t>spending on the same set of diseases.</w:t>
      </w:r>
      <w:r w:rsidR="00946275" w:rsidRPr="00A911BB">
        <w:rPr>
          <w:rFonts w:ascii="Roboto Light" w:hAnsi="Roboto Light" w:cs="Arial"/>
          <w:color w:val="202426"/>
          <w:sz w:val="21"/>
          <w:szCs w:val="21"/>
        </w:rPr>
        <w:fldChar w:fldCharType="begin" w:fldLock="1"/>
      </w:r>
      <w:r w:rsidR="00946275" w:rsidRPr="00A911BB">
        <w:rPr>
          <w:rFonts w:ascii="Roboto Light" w:hAnsi="Roboto Light" w:cs="Arial"/>
          <w:color w:val="202426"/>
          <w:sz w:val="21"/>
          <w:szCs w:val="21"/>
        </w:rPr>
        <w:instrText>ADDIN CSL_CITATION {"citationItems":[{"id":"ITEM-1","itemData":{"author":[{"dropping-particle":"","family":"Moradpour","given":"Javad","non-dropping-particle":"","parse-names":false,"suffix":""},{"dropping-particle":"","family":"Hollis","given":"Aidan","non-dropping-particle":"","parse-names":false,"suffix":""}],"container-title":"Health Economics","id":"ITEM-1","issue":"12","issued":{"date-parts":[["2020"]]},"page":"1795-1803","publisher":"Wiley Online Library","title":"Patient income and health innovation","type":"article-journal","volume":"29"},"uris":["http://www.mendeley.com/documents/?uuid=3f811e8b-956a-401b-94c1-2166ac320e88"]}],"mendeley":{"formattedCitation":"(30)","plainTextFormattedCitation":"(30)"},"properties":{"noteIndex":0},"schema":"https://github.com/citation-style-language/schema/raw/master/csl-citation.json"}</w:instrText>
      </w:r>
      <w:r w:rsidR="00946275" w:rsidRPr="00A911BB">
        <w:rPr>
          <w:rFonts w:ascii="Roboto Light" w:hAnsi="Roboto Light" w:cs="Arial"/>
          <w:color w:val="202426"/>
          <w:sz w:val="21"/>
          <w:szCs w:val="21"/>
        </w:rPr>
        <w:fldChar w:fldCharType="separate"/>
      </w:r>
      <w:r w:rsidR="00946275" w:rsidRPr="00A911BB">
        <w:rPr>
          <w:rFonts w:ascii="Roboto Light" w:hAnsi="Roboto Light" w:cs="Arial"/>
          <w:noProof/>
          <w:color w:val="202426"/>
          <w:sz w:val="21"/>
          <w:szCs w:val="21"/>
        </w:rPr>
        <w:t>(30)</w:t>
      </w:r>
      <w:r w:rsidR="00946275" w:rsidRPr="00A911BB">
        <w:rPr>
          <w:rFonts w:ascii="Roboto Light" w:hAnsi="Roboto Light" w:cs="Arial"/>
          <w:color w:val="202426"/>
          <w:sz w:val="21"/>
          <w:szCs w:val="21"/>
        </w:rPr>
        <w:fldChar w:fldCharType="end"/>
      </w:r>
      <w:r w:rsidRPr="00A911BB">
        <w:rPr>
          <w:rFonts w:ascii="Roboto Light" w:hAnsi="Roboto Light" w:cs="Arial"/>
          <w:color w:val="202426"/>
          <w:sz w:val="21"/>
          <w:szCs w:val="21"/>
        </w:rPr>
        <w:t xml:space="preserve"> This is presumably because their primary focus is on the diseases that affect </w:t>
      </w:r>
      <w:r w:rsidRPr="00A911BB">
        <w:rPr>
          <w:rFonts w:ascii="Roboto Light" w:hAnsi="Roboto Light" w:cs="Arial"/>
          <w:color w:val="202426"/>
          <w:sz w:val="21"/>
          <w:szCs w:val="21"/>
        </w:rPr>
        <w:lastRenderedPageBreak/>
        <w:t xml:space="preserve">their own populations.  A reward fund that rewarded health gains anywhere would presumably be particularly attractive for drugs with large potential therapeutic benefits that cannot obtain attractive commercial rewards through the price system. Such drugs are above all drugs that primarily address the needs of patients in low-income countries. </w:t>
      </w:r>
    </w:p>
    <w:p w14:paraId="4F886391" w14:textId="121D56FA"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GSK’s recent “success” in a malaria vaccine, </w:t>
      </w:r>
      <w:proofErr w:type="spellStart"/>
      <w:r w:rsidRPr="00A911BB">
        <w:rPr>
          <w:rFonts w:ascii="Roboto Light" w:hAnsi="Roboto Light" w:cs="Arial"/>
          <w:color w:val="202426"/>
          <w:sz w:val="21"/>
          <w:szCs w:val="21"/>
        </w:rPr>
        <w:t>Mosquirix</w:t>
      </w:r>
      <w:proofErr w:type="spellEnd"/>
      <w:r w:rsidRPr="00A911BB">
        <w:rPr>
          <w:rFonts w:ascii="Roboto Light" w:hAnsi="Roboto Light" w:cs="Arial"/>
          <w:color w:val="202426"/>
          <w:sz w:val="21"/>
          <w:szCs w:val="21"/>
        </w:rPr>
        <w:t xml:space="preserve">, is a good example of the problems of the current system. GSK has been working on </w:t>
      </w:r>
      <w:proofErr w:type="spellStart"/>
      <w:r w:rsidRPr="00A911BB">
        <w:rPr>
          <w:rFonts w:ascii="Roboto Light" w:hAnsi="Roboto Light" w:cs="Arial"/>
          <w:color w:val="202426"/>
          <w:sz w:val="21"/>
          <w:szCs w:val="21"/>
        </w:rPr>
        <w:t>Mosquirix</w:t>
      </w:r>
      <w:proofErr w:type="spellEnd"/>
      <w:r w:rsidRPr="00A911BB">
        <w:rPr>
          <w:rFonts w:ascii="Roboto Light" w:hAnsi="Roboto Light" w:cs="Arial"/>
          <w:color w:val="202426"/>
          <w:sz w:val="21"/>
          <w:szCs w:val="21"/>
        </w:rPr>
        <w:t xml:space="preserve"> for over 30 years. It has now earned a contract with UNICEF for supply of </w:t>
      </w:r>
      <w:hyperlink r:id="rId11" w:history="1">
        <w:r w:rsidRPr="00A911BB">
          <w:rPr>
            <w:rStyle w:val="Hyperlink"/>
            <w:rFonts w:ascii="Roboto Light" w:hAnsi="Roboto Light" w:cs="Arial"/>
            <w:sz w:val="21"/>
            <w:szCs w:val="21"/>
          </w:rPr>
          <w:t>18 million doses over three years for $170m</w:t>
        </w:r>
      </w:hyperlink>
      <w:r w:rsidRPr="00A911BB">
        <w:rPr>
          <w:rFonts w:ascii="Roboto Light" w:hAnsi="Roboto Light" w:cs="Arial"/>
          <w:color w:val="202426"/>
          <w:sz w:val="21"/>
          <w:szCs w:val="21"/>
        </w:rPr>
        <w:t xml:space="preserve">, or less than $60m a year. This is, perhaps, enough to cover its manufacturing costs, but will not even begin to address the 30 years of development costs. Evidently, the price system is not designed to reward firms for developing drug products that are primarily used by the poor, which is deeply problematic. Many of the </w:t>
      </w:r>
      <w:proofErr w:type="gramStart"/>
      <w:r w:rsidRPr="00A911BB">
        <w:rPr>
          <w:rFonts w:ascii="Roboto Light" w:hAnsi="Roboto Light" w:cs="Arial"/>
          <w:color w:val="202426"/>
          <w:sz w:val="21"/>
          <w:szCs w:val="21"/>
        </w:rPr>
        <w:t xml:space="preserve">most </w:t>
      </w:r>
      <w:r w:rsidR="00C550A1" w:rsidRPr="00A911BB">
        <w:rPr>
          <w:rFonts w:ascii="Roboto Light" w:hAnsi="Roboto Light" w:cs="Arial"/>
          <w:color w:val="202426"/>
          <w:sz w:val="21"/>
          <w:szCs w:val="21"/>
        </w:rPr>
        <w:t>deadly</w:t>
      </w:r>
      <w:proofErr w:type="gramEnd"/>
      <w:r w:rsidRPr="00A911BB">
        <w:rPr>
          <w:rFonts w:ascii="Roboto Light" w:hAnsi="Roboto Light" w:cs="Arial"/>
          <w:color w:val="202426"/>
          <w:sz w:val="21"/>
          <w:szCs w:val="21"/>
        </w:rPr>
        <w:t xml:space="preserve"> diseases in the world – such as HIV, tuberculosis, and malaria – disproportionately burden low-income countries. Altruism from large companies is not a sustainable solution, nor will it ever result in the scale of investment that is required to address the neglected diseases of the world.</w:t>
      </w:r>
    </w:p>
    <w:p w14:paraId="3E608512" w14:textId="77777777"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The failure to invest in these diseases can come back to bite the rich world: high-income countries have spent billions of dollars over the past few years to mitigate the risks of zika, </w:t>
      </w:r>
      <w:proofErr w:type="spellStart"/>
      <w:r w:rsidRPr="00A911BB">
        <w:rPr>
          <w:rFonts w:ascii="Roboto Light" w:hAnsi="Roboto Light" w:cs="Arial"/>
          <w:color w:val="202426"/>
          <w:sz w:val="21"/>
          <w:szCs w:val="21"/>
        </w:rPr>
        <w:t>ebola</w:t>
      </w:r>
      <w:proofErr w:type="spellEnd"/>
      <w:r w:rsidRPr="00A911BB">
        <w:rPr>
          <w:rFonts w:ascii="Roboto Light" w:hAnsi="Roboto Light" w:cs="Arial"/>
          <w:color w:val="202426"/>
          <w:sz w:val="21"/>
          <w:szCs w:val="21"/>
        </w:rPr>
        <w:t>, and monkeypox, all diseases that were first present in low-income countries and which have threatened to spread in high-income countries. A reward fund which recognized the value of improving the health of people regardless of their country of residence could provide the resources and incentives for companies to address such infectious diseases before they spread. If the “next” covid arrives from untreated infections in a low-income country, as seems most likely, the self-interest of the rich countries will be truly to blame.</w:t>
      </w:r>
    </w:p>
    <w:p w14:paraId="17DDE3C0" w14:textId="68E3F582" w:rsidR="00FF2D59" w:rsidRPr="00A911BB" w:rsidRDefault="002945F1" w:rsidP="00FF2D59">
      <w:pPr>
        <w:rPr>
          <w:rFonts w:ascii="Roboto Light" w:hAnsi="Roboto Light" w:cs="Arial"/>
          <w:color w:val="000000"/>
          <w:sz w:val="21"/>
          <w:szCs w:val="21"/>
        </w:rPr>
      </w:pPr>
      <w:r w:rsidRPr="00A911BB">
        <w:rPr>
          <w:rFonts w:ascii="Roboto Light" w:hAnsi="Roboto Light" w:cs="Arial"/>
          <w:color w:val="000000"/>
          <w:sz w:val="21"/>
          <w:szCs w:val="21"/>
        </w:rPr>
        <w:t>The world has</w:t>
      </w:r>
      <w:r w:rsidR="00FF2D59" w:rsidRPr="00A911BB">
        <w:rPr>
          <w:rFonts w:ascii="Roboto Light" w:hAnsi="Roboto Light" w:cs="Arial"/>
          <w:color w:val="000000"/>
          <w:sz w:val="21"/>
          <w:szCs w:val="21"/>
        </w:rPr>
        <w:t xml:space="preserve"> already seen a truly devastating pandemic evolve in low-income countries over many years, and eventually spread to become a global disaster</w:t>
      </w:r>
      <w:r w:rsidR="0053776D" w:rsidRPr="00A911BB">
        <w:rPr>
          <w:rFonts w:ascii="Roboto Light" w:hAnsi="Roboto Light" w:cs="Arial"/>
          <w:color w:val="000000"/>
          <w:sz w:val="21"/>
          <w:szCs w:val="21"/>
        </w:rPr>
        <w:t>:</w:t>
      </w:r>
      <w:r w:rsidR="00FF2D59" w:rsidRPr="00A911BB">
        <w:rPr>
          <w:rFonts w:ascii="Roboto Light" w:hAnsi="Roboto Light" w:cs="Arial"/>
          <w:color w:val="000000"/>
          <w:sz w:val="21"/>
          <w:szCs w:val="21"/>
        </w:rPr>
        <w:t xml:space="preserve"> </w:t>
      </w:r>
      <w:r w:rsidR="0053776D" w:rsidRPr="00A911BB">
        <w:rPr>
          <w:rFonts w:ascii="Roboto Light" w:hAnsi="Roboto Light" w:cs="Arial"/>
          <w:color w:val="000000"/>
          <w:sz w:val="21"/>
          <w:szCs w:val="21"/>
        </w:rPr>
        <w:t>t</w:t>
      </w:r>
      <w:r w:rsidR="00FF2D59" w:rsidRPr="00A911BB">
        <w:rPr>
          <w:rFonts w:ascii="Roboto Light" w:hAnsi="Roboto Light" w:cs="Arial"/>
          <w:color w:val="000000"/>
          <w:sz w:val="21"/>
          <w:szCs w:val="21"/>
        </w:rPr>
        <w:t xml:space="preserve">he ancestral strain of HIV-1 was present in humans in Central Africa from at least the </w:t>
      </w:r>
      <w:proofErr w:type="gramStart"/>
      <w:r w:rsidR="00FF2D59" w:rsidRPr="00A911BB">
        <w:rPr>
          <w:rFonts w:ascii="Roboto Light" w:hAnsi="Roboto Light" w:cs="Arial"/>
          <w:color w:val="000000"/>
          <w:sz w:val="21"/>
          <w:szCs w:val="21"/>
        </w:rPr>
        <w:t>1930s, and</w:t>
      </w:r>
      <w:proofErr w:type="gramEnd"/>
      <w:r w:rsidR="00FF2D59" w:rsidRPr="00A911BB">
        <w:rPr>
          <w:rFonts w:ascii="Roboto Light" w:hAnsi="Roboto Light" w:cs="Arial"/>
          <w:color w:val="000000"/>
          <w:sz w:val="21"/>
          <w:szCs w:val="21"/>
        </w:rPr>
        <w:t xml:space="preserve"> attracted no medical interest from wealthy countries</w:t>
      </w:r>
      <w:r w:rsidR="0053776D" w:rsidRPr="00A911BB">
        <w:rPr>
          <w:rFonts w:ascii="Roboto Light" w:hAnsi="Roboto Light" w:cs="Arial"/>
          <w:color w:val="000000"/>
          <w:sz w:val="21"/>
          <w:szCs w:val="21"/>
        </w:rPr>
        <w:t xml:space="preserve"> at the time</w:t>
      </w:r>
      <w:r w:rsidR="00FF2D59" w:rsidRPr="00A911BB">
        <w:rPr>
          <w:rFonts w:ascii="Roboto Light" w:hAnsi="Roboto Light" w:cs="Arial"/>
          <w:color w:val="000000"/>
          <w:sz w:val="21"/>
          <w:szCs w:val="21"/>
        </w:rPr>
        <w:t>. It seems to have begun to spread internationally only starting in the 1960s.</w:t>
      </w:r>
      <w:r w:rsidR="00FF2D59" w:rsidRPr="00A911BB">
        <w:rPr>
          <w:rFonts w:ascii="Roboto Light" w:hAnsi="Roboto Light" w:cs="Arial"/>
          <w:color w:val="000000"/>
          <w:sz w:val="21"/>
          <w:szCs w:val="21"/>
        </w:rPr>
        <w:fldChar w:fldCharType="begin" w:fldLock="1"/>
      </w:r>
      <w:r w:rsidR="00946275" w:rsidRPr="00A911BB">
        <w:rPr>
          <w:rFonts w:ascii="Roboto Light" w:hAnsi="Roboto Light" w:cs="Arial"/>
          <w:color w:val="000000"/>
          <w:sz w:val="21"/>
          <w:szCs w:val="21"/>
        </w:rPr>
        <w:instrText>ADDIN CSL_CITATION {"citationItems":[{"id":"ITEM-1","itemData":{"author":[{"dropping-particle":"","family":"Korber","given":"Bette","non-dropping-particle":"","parse-names":false,"suffix":""},{"dropping-particle":"","family":"Muldoon","given":"Mark","non-dropping-particle":"","parse-names":false,"suffix":""},{"dropping-particle":"","family":"Theiler","given":"James","non-dropping-particle":"","parse-names":false,"suffix":""},{"dropping-particle":"","family":"Gao","given":"Fei","non-dropping-particle":"","parse-names":false,"suffix":""},{"dropping-particle":"","family":"Gupta","given":"Radhika","non-dropping-particle":"","parse-names":false,"suffix":""},{"dropping-particle":"","family":"Lapedes","given":"Alan","non-dropping-particle":"","parse-names":false,"suffix":""},{"dropping-particle":"","family":"Hahn","given":"B H","non-dropping-particle":"","parse-names":false,"suffix":""},{"dropping-particle":"","family":"Wolinsky","given":"Steven","non-dropping-particle":"","parse-names":false,"suffix":""},{"dropping-particle":"","family":"Bhattacharya","given":"Tanmoy","non-dropping-particle":"","parse-names":false,"suffix":""}],"container-title":"science","id":"ITEM-1","issue":"5472","issued":{"date-parts":[["2000"]]},"page":"1789-1796","publisher":"American Association for the Advancement of Science","title":"Timing the ancestor of the HIV-1 pandemic strains","type":"article-journal","volume":"288"},"uris":["http://www.mendeley.com/documents/?uuid=765f2c7b-b7c9-4994-a4f5-487e3c1242cf"]},{"id":"ITEM-2","itemData":{"DOI":"10.1073/pnas.0705329104","ISSN":"1091-6490 (Electronic)","PMID":"17978186","abstract":"HIV-1 group M subtype B was the first HIV discovered and is the predominant  variant of AIDS virus in most countries outside of sub-Saharan Africa. However, the circumstances of its origin and emergence remain unresolved. Here we propose a geographic sequence and time line for the origin of subtype B and the emergence of pandemic HIV/AIDS out of Africa. Using HIV-1 gene sequences recovered from archival samples from some of the earliest known Haitian AIDS patients, we find that subtype B likely moved from Africa to Haiti in or around 1966 (1962-1970) and then spread there for some years before successfully dispersing elsewhere. A \"pandemic\" clade, encompassing the vast majority of non-Haitian subtype B infections in the United States and elsewhere around the world, subsequently emerged after a single migration of the virus out of Haiti in or around 1969 (1966-1972). Haiti appears to have the oldest HIV/AIDS epidemic outside sub-Saharan Africa and the most genetically diverse subtype B epidemic, which might present challenges for HIV-1 vaccine design and testing. The emergence of the pandemic variant of subtype B was an important turning point in the history of AIDS, but its spread was likely driven by ecological rather than evolutionary factors. Our results suggest that HIV-1 circulated cryptically in the United States for approximately 12 years before the recognition of AIDS in 1981.","author":[{"dropping-particle":"","family":"Gilbert","given":"M Thomas P","non-dropping-particle":"","parse-names":false,"suffix":""},{"dropping-particle":"","family":"Rambaut","given":"Andrew","non-dropping-particle":"","parse-names":false,"suffix":""},{"dropping-particle":"","family":"Wlasiuk","given":"Gabriela","non-dropping-particle":"","parse-names":false,"suffix":""},{"dropping-particle":"","family":"Spira","given":"Thomas J","non-dropping-particle":"","parse-names":false,"suffix":""},{"dropping-particle":"","family":"Pitchenik","given":"Arthur E","non-dropping-particle":"","parse-names":false,"suffix":""},{"dropping-particle":"","family":"Worobey","given":"Michael","non-dropping-particle":"","parse-names":false,"suffix":""}],"container-title":"Proceedings of the National Academy of Sciences of the United States of America","id":"ITEM-2","issue":"47","issued":{"date-parts":[["2007","11"]]},"language":"eng","page":"18566-18570","title":"The emergence of HIV/AIDS in the Americas and beyond.","type":"article-journal","volume":"104"},"uris":["http://www.mendeley.com/documents/?uuid=54201c1d-aa53-4edc-98dd-78b681c08f83"]}],"mendeley":{"formattedCitation":"(31,32)","plainTextFormattedCitation":"(31,32)","previouslyFormattedCitation":"(30,31)"},"properties":{"noteIndex":0},"schema":"https://github.com/citation-style-language/schema/raw/master/csl-citation.json"}</w:instrText>
      </w:r>
      <w:r w:rsidR="00FF2D59" w:rsidRPr="00A911BB">
        <w:rPr>
          <w:rFonts w:ascii="Roboto Light" w:hAnsi="Roboto Light" w:cs="Arial"/>
          <w:color w:val="000000"/>
          <w:sz w:val="21"/>
          <w:szCs w:val="21"/>
        </w:rPr>
        <w:fldChar w:fldCharType="separate"/>
      </w:r>
      <w:r w:rsidR="00946275" w:rsidRPr="00A911BB">
        <w:rPr>
          <w:rFonts w:ascii="Roboto Light" w:hAnsi="Roboto Light" w:cs="Arial"/>
          <w:noProof/>
          <w:color w:val="000000"/>
          <w:sz w:val="21"/>
          <w:szCs w:val="21"/>
        </w:rPr>
        <w:t>(31,32)</w:t>
      </w:r>
      <w:r w:rsidR="00FF2D59" w:rsidRPr="00A911BB">
        <w:rPr>
          <w:rFonts w:ascii="Roboto Light" w:hAnsi="Roboto Light" w:cs="Arial"/>
          <w:color w:val="000000"/>
          <w:sz w:val="21"/>
          <w:szCs w:val="21"/>
        </w:rPr>
        <w:fldChar w:fldCharType="end"/>
      </w:r>
      <w:r w:rsidR="00FF2D59" w:rsidRPr="00A911BB">
        <w:rPr>
          <w:rFonts w:ascii="Roboto Light" w:hAnsi="Roboto Light" w:cs="Arial"/>
          <w:color w:val="000000"/>
          <w:sz w:val="21"/>
          <w:szCs w:val="21"/>
        </w:rPr>
        <w:t xml:space="preserve"> To be sure, the ability to diagnose and track diseases has improved enormously since the mid-twentieth century, but it isn’t clear that the world has really learned much from its experience with HIV/AIDS.  Other infectious diseases continue to circulate in low-income countries, with the continuous potential of mutating into more infectious variants and putting the entire world at risk. Indeed, the monkeypox crisis exactly mirrors this situation</w:t>
      </w:r>
      <w:r w:rsidR="00C550A1" w:rsidRPr="00A911BB">
        <w:rPr>
          <w:rFonts w:ascii="Roboto Light" w:hAnsi="Roboto Light" w:cs="Arial"/>
          <w:color w:val="000000"/>
          <w:sz w:val="21"/>
          <w:szCs w:val="21"/>
        </w:rPr>
        <w:t>.</w:t>
      </w:r>
      <w:r w:rsidR="00FF2D59" w:rsidRPr="00A911BB">
        <w:rPr>
          <w:rFonts w:ascii="Roboto Light" w:hAnsi="Roboto Light" w:cs="Arial"/>
          <w:color w:val="000000"/>
          <w:sz w:val="21"/>
          <w:szCs w:val="21"/>
        </w:rPr>
        <w:t xml:space="preserve"> </w:t>
      </w:r>
      <w:r w:rsidR="00C550A1" w:rsidRPr="00A911BB">
        <w:rPr>
          <w:rFonts w:ascii="Roboto Light" w:hAnsi="Roboto Light" w:cs="Arial"/>
          <w:color w:val="000000"/>
          <w:sz w:val="21"/>
          <w:szCs w:val="21"/>
        </w:rPr>
        <w:t>O</w:t>
      </w:r>
      <w:r w:rsidR="00FF2D59" w:rsidRPr="00A911BB">
        <w:rPr>
          <w:rFonts w:ascii="Roboto Light" w:hAnsi="Roboto Light" w:cs="Arial"/>
          <w:color w:val="000000"/>
          <w:sz w:val="21"/>
          <w:szCs w:val="21"/>
        </w:rPr>
        <w:t xml:space="preserve">ther previous episodes classified as “Public Health Emergencies of International Concern” such as </w:t>
      </w:r>
      <w:r w:rsidR="0053776D" w:rsidRPr="00A911BB">
        <w:rPr>
          <w:rFonts w:ascii="Roboto Light" w:hAnsi="Roboto Light" w:cs="Arial"/>
          <w:color w:val="000000"/>
          <w:sz w:val="21"/>
          <w:szCs w:val="21"/>
        </w:rPr>
        <w:t xml:space="preserve">the </w:t>
      </w:r>
      <w:r w:rsidR="00FF2D59" w:rsidRPr="00A911BB">
        <w:rPr>
          <w:rFonts w:ascii="Roboto Light" w:hAnsi="Roboto Light" w:cs="Arial"/>
          <w:color w:val="000000"/>
          <w:sz w:val="21"/>
          <w:szCs w:val="21"/>
        </w:rPr>
        <w:t xml:space="preserve">zika virus and </w:t>
      </w:r>
      <w:r w:rsidR="0053776D" w:rsidRPr="00A911BB">
        <w:rPr>
          <w:rFonts w:ascii="Roboto Light" w:hAnsi="Roboto Light" w:cs="Arial"/>
          <w:color w:val="000000"/>
          <w:sz w:val="21"/>
          <w:szCs w:val="21"/>
        </w:rPr>
        <w:t>E</w:t>
      </w:r>
      <w:r w:rsidR="00FF2D59" w:rsidRPr="00A911BB">
        <w:rPr>
          <w:rFonts w:ascii="Roboto Light" w:hAnsi="Roboto Light" w:cs="Arial"/>
          <w:color w:val="000000"/>
          <w:sz w:val="21"/>
          <w:szCs w:val="21"/>
        </w:rPr>
        <w:t xml:space="preserve">bola show that there is much more interest in infectious disease threats once they spread into high-income countries. </w:t>
      </w:r>
    </w:p>
    <w:p w14:paraId="0D3823BE" w14:textId="5B2EE9A7"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With an international ODRS, which could function along the lines of the Advance Market Commitment or the proposed Health Impact Fund, it would be possible </w:t>
      </w:r>
      <w:r w:rsidR="0053776D" w:rsidRPr="00A911BB">
        <w:rPr>
          <w:rFonts w:ascii="Roboto Light" w:hAnsi="Roboto Light" w:cs="Arial"/>
          <w:color w:val="202426"/>
          <w:sz w:val="21"/>
          <w:szCs w:val="21"/>
        </w:rPr>
        <w:t xml:space="preserve">to </w:t>
      </w:r>
      <w:r w:rsidRPr="00A911BB">
        <w:rPr>
          <w:rFonts w:ascii="Roboto Light" w:hAnsi="Roboto Light" w:cs="Arial"/>
          <w:color w:val="202426"/>
          <w:sz w:val="21"/>
          <w:szCs w:val="21"/>
        </w:rPr>
        <w:t xml:space="preserve">support the development of new medicines for diseases that currently lack much commercial pull. And as an important corollary, such a mechanism would </w:t>
      </w:r>
      <w:r w:rsidRPr="00A911BB">
        <w:rPr>
          <w:rFonts w:ascii="Roboto Medium" w:hAnsi="Roboto Medium" w:cs="Arial"/>
          <w:color w:val="202426"/>
          <w:sz w:val="21"/>
          <w:szCs w:val="21"/>
        </w:rPr>
        <w:t>drive not only innovation but also delivery</w:t>
      </w:r>
      <w:r w:rsidRPr="00A911BB">
        <w:rPr>
          <w:rFonts w:ascii="Roboto Light" w:hAnsi="Roboto Light" w:cs="Arial"/>
          <w:color w:val="202426"/>
          <w:sz w:val="21"/>
          <w:szCs w:val="21"/>
        </w:rPr>
        <w:t xml:space="preserve"> since the amounts paid out would depend on whether people were </w:t>
      </w:r>
      <w:proofErr w:type="gramStart"/>
      <w:r w:rsidRPr="00A911BB">
        <w:rPr>
          <w:rFonts w:ascii="Roboto Light" w:hAnsi="Roboto Light" w:cs="Arial"/>
          <w:color w:val="202426"/>
          <w:sz w:val="21"/>
          <w:szCs w:val="21"/>
        </w:rPr>
        <w:t>actually treated</w:t>
      </w:r>
      <w:proofErr w:type="gramEnd"/>
      <w:r w:rsidRPr="00A911BB">
        <w:rPr>
          <w:rFonts w:ascii="Roboto Light" w:hAnsi="Roboto Light" w:cs="Arial"/>
          <w:color w:val="202426"/>
          <w:sz w:val="21"/>
          <w:szCs w:val="21"/>
        </w:rPr>
        <w:t xml:space="preserve"> (or vaccinated). </w:t>
      </w:r>
    </w:p>
    <w:p w14:paraId="3DBFF7BB" w14:textId="07C447EE"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A global ODRS could be separate from national ones, recognizing that there might be different goals and levels of payment. However, the principles would remain the same: access </w:t>
      </w:r>
      <w:r w:rsidR="004741BD" w:rsidRPr="00A911BB">
        <w:rPr>
          <w:rFonts w:ascii="Roboto Light" w:hAnsi="Roboto Light" w:cs="Arial"/>
          <w:color w:val="202426"/>
          <w:sz w:val="21"/>
          <w:szCs w:val="21"/>
        </w:rPr>
        <w:t xml:space="preserve">achieved </w:t>
      </w:r>
      <w:r w:rsidRPr="00A911BB">
        <w:rPr>
          <w:rFonts w:ascii="Roboto Light" w:hAnsi="Roboto Light" w:cs="Arial"/>
          <w:color w:val="202426"/>
          <w:sz w:val="21"/>
          <w:szCs w:val="21"/>
        </w:rPr>
        <w:lastRenderedPageBreak/>
        <w:t xml:space="preserve">through efficient, marginal-cost pricing; innovation and investment in product delivery </w:t>
      </w:r>
      <w:r w:rsidR="004741BD" w:rsidRPr="00A911BB">
        <w:rPr>
          <w:rFonts w:ascii="Roboto Light" w:hAnsi="Roboto Light" w:cs="Arial"/>
          <w:color w:val="202426"/>
          <w:sz w:val="21"/>
          <w:szCs w:val="21"/>
        </w:rPr>
        <w:t xml:space="preserve">supported </w:t>
      </w:r>
      <w:r w:rsidRPr="00A911BB">
        <w:rPr>
          <w:rFonts w:ascii="Roboto Light" w:hAnsi="Roboto Light" w:cs="Arial"/>
          <w:color w:val="202426"/>
          <w:sz w:val="21"/>
          <w:szCs w:val="21"/>
        </w:rPr>
        <w:t>through rewards based on assessed health benefit</w:t>
      </w:r>
      <w:r w:rsidR="0053776D" w:rsidRPr="00A911BB">
        <w:rPr>
          <w:rFonts w:ascii="Roboto Light" w:hAnsi="Roboto Light" w:cs="Arial"/>
          <w:color w:val="202426"/>
          <w:sz w:val="21"/>
          <w:szCs w:val="21"/>
        </w:rPr>
        <w:t>s</w:t>
      </w:r>
      <w:r w:rsidRPr="00A911BB">
        <w:rPr>
          <w:rFonts w:ascii="Roboto Light" w:hAnsi="Roboto Light" w:cs="Arial"/>
          <w:color w:val="202426"/>
          <w:sz w:val="21"/>
          <w:szCs w:val="21"/>
        </w:rPr>
        <w:t xml:space="preserve">; and </w:t>
      </w:r>
      <w:r w:rsidR="004741BD" w:rsidRPr="00A911BB">
        <w:rPr>
          <w:rFonts w:ascii="Roboto Light" w:hAnsi="Roboto Light" w:cs="Arial"/>
          <w:color w:val="202426"/>
          <w:sz w:val="21"/>
          <w:szCs w:val="21"/>
        </w:rPr>
        <w:t>optional participation by pharmaceutical innovators</w:t>
      </w:r>
      <w:r w:rsidRPr="00A911BB">
        <w:rPr>
          <w:rFonts w:ascii="Roboto Light" w:hAnsi="Roboto Light" w:cs="Arial"/>
          <w:color w:val="202426"/>
          <w:sz w:val="21"/>
          <w:szCs w:val="21"/>
        </w:rPr>
        <w:t xml:space="preserve">. </w:t>
      </w:r>
    </w:p>
    <w:p w14:paraId="4FBB2FC9" w14:textId="63BDEB96" w:rsidR="006275EA" w:rsidRPr="00A911BB" w:rsidRDefault="006275EA" w:rsidP="006275EA">
      <w:pPr>
        <w:rPr>
          <w:rFonts w:ascii="Roboto Light" w:hAnsi="Roboto Light" w:cs="Arial"/>
          <w:color w:val="202426"/>
          <w:sz w:val="21"/>
          <w:szCs w:val="21"/>
        </w:rPr>
      </w:pPr>
      <w:r w:rsidRPr="00A911BB">
        <w:rPr>
          <w:rFonts w:ascii="Roboto Light" w:hAnsi="Roboto Light" w:cs="Arial"/>
          <w:color w:val="202426"/>
          <w:sz w:val="21"/>
          <w:szCs w:val="21"/>
        </w:rPr>
        <w:t>In the case of a</w:t>
      </w:r>
      <w:r w:rsidR="004741BD" w:rsidRPr="00A911BB">
        <w:rPr>
          <w:rFonts w:ascii="Roboto Light" w:hAnsi="Roboto Light" w:cs="Arial"/>
          <w:color w:val="202426"/>
          <w:sz w:val="21"/>
          <w:szCs w:val="21"/>
        </w:rPr>
        <w:t xml:space="preserve">n ODRS </w:t>
      </w:r>
      <w:r w:rsidRPr="00A911BB">
        <w:rPr>
          <w:rFonts w:ascii="Roboto Light" w:hAnsi="Roboto Light" w:cs="Arial"/>
          <w:color w:val="202426"/>
          <w:sz w:val="21"/>
          <w:szCs w:val="21"/>
        </w:rPr>
        <w:t xml:space="preserve">targeting neglected diseases, it would be most appropriate for the funding to come from high-income country governments, perhaps as a contribution towards their </w:t>
      </w:r>
      <w:r w:rsidR="00FE7A1E" w:rsidRPr="00A911BB">
        <w:rPr>
          <w:rFonts w:ascii="Roboto Light" w:hAnsi="Roboto Light" w:cs="Arial"/>
          <w:color w:val="202426"/>
          <w:sz w:val="21"/>
          <w:szCs w:val="21"/>
        </w:rPr>
        <w:t>development assistance</w:t>
      </w:r>
      <w:r w:rsidRPr="00A911BB">
        <w:rPr>
          <w:rFonts w:ascii="Roboto Light" w:hAnsi="Roboto Light" w:cs="Arial"/>
          <w:color w:val="202426"/>
          <w:sz w:val="21"/>
          <w:szCs w:val="21"/>
        </w:rPr>
        <w:t xml:space="preserve"> commitments. </w:t>
      </w:r>
    </w:p>
    <w:p w14:paraId="07375ADB" w14:textId="28D7AC1E" w:rsidR="00FF2D59" w:rsidRPr="00A911BB" w:rsidRDefault="004741BD" w:rsidP="004741BD">
      <w:pPr>
        <w:pStyle w:val="Heading2"/>
        <w:rPr>
          <w:rFonts w:ascii="Roboto" w:hAnsi="Roboto"/>
          <w:b w:val="0"/>
          <w:bCs w:val="0"/>
          <w:caps/>
        </w:rPr>
      </w:pPr>
      <w:r w:rsidRPr="00A911BB">
        <w:rPr>
          <w:rFonts w:ascii="Roboto" w:hAnsi="Roboto"/>
          <w:b w:val="0"/>
          <w:bCs w:val="0"/>
          <w:caps/>
        </w:rPr>
        <w:t>6.1</w:t>
      </w:r>
      <w:r w:rsidR="002945F1" w:rsidRPr="00A911BB">
        <w:rPr>
          <w:rFonts w:ascii="Roboto" w:hAnsi="Roboto"/>
          <w:b w:val="0"/>
          <w:bCs w:val="0"/>
          <w:caps/>
        </w:rPr>
        <w:t xml:space="preserve"> </w:t>
      </w:r>
      <w:r w:rsidR="00FF2D59" w:rsidRPr="00A911BB">
        <w:rPr>
          <w:rFonts w:ascii="Roboto" w:hAnsi="Roboto"/>
          <w:b w:val="0"/>
          <w:bCs w:val="0"/>
          <w:caps/>
        </w:rPr>
        <w:t>How the ODRS differs from the Health Impact Fund</w:t>
      </w:r>
    </w:p>
    <w:p w14:paraId="71A543D8" w14:textId="560C6892"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According to </w:t>
      </w:r>
      <w:hyperlink r:id="rId12" w:history="1">
        <w:r w:rsidRPr="00A911BB">
          <w:rPr>
            <w:rStyle w:val="Hyperlink"/>
            <w:rFonts w:ascii="Roboto Light" w:hAnsi="Roboto Light" w:cs="Arial"/>
            <w:sz w:val="21"/>
            <w:szCs w:val="21"/>
          </w:rPr>
          <w:t>https://healthimpactfund.org</w:t>
        </w:r>
      </w:hyperlink>
      <w:r w:rsidRPr="00A911BB">
        <w:rPr>
          <w:rFonts w:ascii="Roboto Light" w:hAnsi="Roboto Light" w:cs="Arial"/>
          <w:color w:val="202426"/>
          <w:sz w:val="21"/>
          <w:szCs w:val="21"/>
        </w:rPr>
        <w:t>, the proposed Health Impact Fund targets innovation into “diseases concentrated among the poor”, unlike the ODRS, which is designed as a general complement to existing systems of insurance. However, the general theme of having a two-part price in which the price to the patient is delinked from the reward to the pharmaceutical innovator is similar, as with other types of mechanisms such as Advanced Market Commitments</w:t>
      </w:r>
      <w:r w:rsidR="002945F1" w:rsidRPr="00A911BB">
        <w:rPr>
          <w:rFonts w:ascii="Roboto Light" w:hAnsi="Roboto Light" w:cs="Arial"/>
          <w:color w:val="202426"/>
          <w:sz w:val="21"/>
          <w:szCs w:val="21"/>
        </w:rPr>
        <w:t xml:space="preserve">, </w:t>
      </w:r>
      <w:r w:rsidRPr="00A911BB">
        <w:rPr>
          <w:rFonts w:ascii="Roboto Light" w:hAnsi="Roboto Light" w:cs="Arial"/>
          <w:color w:val="202426"/>
          <w:sz w:val="21"/>
          <w:szCs w:val="21"/>
        </w:rPr>
        <w:t>the UK’s Antibiotic Subscription Pilot</w:t>
      </w:r>
      <w:r w:rsidR="002945F1" w:rsidRPr="00A911BB">
        <w:rPr>
          <w:rFonts w:ascii="Roboto Light" w:hAnsi="Roboto Light" w:cs="Arial"/>
          <w:color w:val="202426"/>
          <w:sz w:val="21"/>
          <w:szCs w:val="21"/>
        </w:rPr>
        <w:t>, or Australia’s contract for direct-acting antivirals</w:t>
      </w:r>
      <w:r w:rsidRPr="00A911BB">
        <w:rPr>
          <w:rFonts w:ascii="Roboto Light" w:hAnsi="Roboto Light" w:cs="Arial"/>
          <w:color w:val="202426"/>
          <w:sz w:val="21"/>
          <w:szCs w:val="21"/>
        </w:rPr>
        <w:t xml:space="preserve">. The ODRS is unique </w:t>
      </w:r>
      <w:r w:rsidR="002945F1" w:rsidRPr="00A911BB">
        <w:rPr>
          <w:rFonts w:ascii="Roboto Light" w:hAnsi="Roboto Light" w:cs="Arial"/>
          <w:color w:val="202426"/>
          <w:sz w:val="21"/>
          <w:szCs w:val="21"/>
        </w:rPr>
        <w:t xml:space="preserve">as a fully conceived complement to existing structures of insurance in high-income countries. Moreover, the ODRS is proposed as a solution within a country, with a different funding structure (based on existing insurance) and different reward mechanism (fully accounting for cost differences). </w:t>
      </w:r>
    </w:p>
    <w:p w14:paraId="6C28AFD3" w14:textId="128820D2" w:rsidR="00FF2D59" w:rsidRPr="00382EEF" w:rsidRDefault="004741BD"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7</w:t>
      </w:r>
      <w:r w:rsidR="002945F1" w:rsidRPr="00382EEF">
        <w:rPr>
          <w:rFonts w:ascii="Roboto" w:hAnsi="Roboto"/>
          <w:b w:val="0"/>
          <w:bCs w:val="0"/>
          <w:caps/>
          <w:color w:val="EB2E3D"/>
          <w:sz w:val="26"/>
          <w:szCs w:val="26"/>
          <w:u w:val="none"/>
        </w:rPr>
        <w:t>. ODRS implementation challenges</w:t>
      </w:r>
    </w:p>
    <w:p w14:paraId="6FEE2351" w14:textId="08080DB9"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The ODRS depends on </w:t>
      </w:r>
      <w:r w:rsidR="004741BD" w:rsidRPr="00A911BB">
        <w:rPr>
          <w:rFonts w:ascii="Roboto Light" w:hAnsi="Roboto Light" w:cs="Arial"/>
          <w:color w:val="202426"/>
          <w:sz w:val="21"/>
          <w:szCs w:val="21"/>
        </w:rPr>
        <w:t xml:space="preserve">the </w:t>
      </w:r>
      <w:r w:rsidRPr="00A911BB">
        <w:rPr>
          <w:rFonts w:ascii="Roboto Light" w:hAnsi="Roboto Light" w:cs="Arial"/>
          <w:color w:val="202426"/>
          <w:sz w:val="21"/>
          <w:szCs w:val="21"/>
        </w:rPr>
        <w:t xml:space="preserve">measurement of health benefits to operate effectively. </w:t>
      </w:r>
      <w:r w:rsidR="002945F1" w:rsidRPr="00A911BB">
        <w:rPr>
          <w:rFonts w:ascii="Roboto Light" w:hAnsi="Roboto Light" w:cs="Arial"/>
          <w:color w:val="202426"/>
          <w:sz w:val="21"/>
          <w:szCs w:val="21"/>
        </w:rPr>
        <w:t>In some countries, t</w:t>
      </w:r>
      <w:r w:rsidRPr="00A911BB">
        <w:rPr>
          <w:rFonts w:ascii="Roboto Light" w:hAnsi="Roboto Light" w:cs="Arial"/>
          <w:color w:val="202426"/>
          <w:sz w:val="21"/>
          <w:szCs w:val="21"/>
        </w:rPr>
        <w:t xml:space="preserve">his </w:t>
      </w:r>
      <w:r w:rsidR="002945F1" w:rsidRPr="00A911BB">
        <w:rPr>
          <w:rFonts w:ascii="Roboto Light" w:hAnsi="Roboto Light" w:cs="Arial"/>
          <w:color w:val="202426"/>
          <w:sz w:val="21"/>
          <w:szCs w:val="21"/>
        </w:rPr>
        <w:t>w</w:t>
      </w:r>
      <w:r w:rsidRPr="00A911BB">
        <w:rPr>
          <w:rFonts w:ascii="Roboto Light" w:hAnsi="Roboto Light" w:cs="Arial"/>
          <w:color w:val="202426"/>
          <w:sz w:val="21"/>
          <w:szCs w:val="21"/>
        </w:rPr>
        <w:t xml:space="preserve">ould necessitate additional investments in health systems to estimate benefits. In high-income countries, administrative records are already adequate to identify </w:t>
      </w:r>
      <w:r w:rsidR="00C550A1" w:rsidRPr="00A911BB">
        <w:rPr>
          <w:rFonts w:ascii="Roboto Light" w:hAnsi="Roboto Light" w:cs="Arial"/>
          <w:color w:val="202426"/>
          <w:sz w:val="21"/>
          <w:szCs w:val="21"/>
        </w:rPr>
        <w:t xml:space="preserve">patient characteristics and indications </w:t>
      </w:r>
      <w:r w:rsidRPr="00A911BB">
        <w:rPr>
          <w:rFonts w:ascii="Roboto Light" w:hAnsi="Roboto Light" w:cs="Arial"/>
          <w:color w:val="202426"/>
          <w:sz w:val="21"/>
          <w:szCs w:val="21"/>
        </w:rPr>
        <w:t>(most of the time). In developing countries, tracking usage is certainly more challenging, and so the ODRS would require more investment to work well. Estimating health benefit</w:t>
      </w:r>
      <w:r w:rsidR="004741BD" w:rsidRPr="00A911BB">
        <w:rPr>
          <w:rFonts w:ascii="Roboto Light" w:hAnsi="Roboto Light" w:cs="Arial"/>
          <w:color w:val="202426"/>
          <w:sz w:val="21"/>
          <w:szCs w:val="21"/>
        </w:rPr>
        <w:t>s</w:t>
      </w:r>
      <w:r w:rsidRPr="00A911BB">
        <w:rPr>
          <w:rFonts w:ascii="Roboto Light" w:hAnsi="Roboto Light" w:cs="Arial"/>
          <w:color w:val="202426"/>
          <w:sz w:val="21"/>
          <w:szCs w:val="21"/>
        </w:rPr>
        <w:t xml:space="preserve"> would often be contentious; clear contracts and an expeditious appeals process would be needed. </w:t>
      </w:r>
    </w:p>
    <w:p w14:paraId="6FFF5A03" w14:textId="2A3AC0DD" w:rsidR="004741BD"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As discussed above, the ODRS depends on </w:t>
      </w:r>
      <w:r w:rsidR="00C550A1" w:rsidRPr="00A911BB">
        <w:rPr>
          <w:rFonts w:ascii="Roboto Light" w:hAnsi="Roboto Light" w:cs="Arial"/>
          <w:color w:val="202426"/>
          <w:sz w:val="21"/>
          <w:szCs w:val="21"/>
        </w:rPr>
        <w:t xml:space="preserve">the availability of </w:t>
      </w:r>
      <w:r w:rsidR="002945F1" w:rsidRPr="00A911BB">
        <w:rPr>
          <w:rFonts w:ascii="Roboto Light" w:hAnsi="Roboto Light" w:cs="Arial"/>
          <w:color w:val="202426"/>
          <w:sz w:val="21"/>
          <w:szCs w:val="21"/>
        </w:rPr>
        <w:t>an adequate</w:t>
      </w:r>
      <w:r w:rsidR="00C550A1" w:rsidRPr="00A911BB">
        <w:rPr>
          <w:rFonts w:ascii="Roboto Light" w:hAnsi="Roboto Light" w:cs="Arial"/>
          <w:color w:val="202426"/>
          <w:sz w:val="21"/>
          <w:szCs w:val="21"/>
        </w:rPr>
        <w:t>, stable</w:t>
      </w:r>
      <w:r w:rsidR="002945F1" w:rsidRPr="00A911BB">
        <w:rPr>
          <w:rFonts w:ascii="Roboto Light" w:hAnsi="Roboto Light" w:cs="Arial"/>
          <w:color w:val="202426"/>
          <w:sz w:val="21"/>
          <w:szCs w:val="21"/>
        </w:rPr>
        <w:t xml:space="preserve"> budget</w:t>
      </w:r>
      <w:r w:rsidRPr="00A911BB">
        <w:rPr>
          <w:rFonts w:ascii="Roboto Light" w:hAnsi="Roboto Light" w:cs="Arial"/>
          <w:color w:val="202426"/>
          <w:sz w:val="21"/>
          <w:szCs w:val="21"/>
        </w:rPr>
        <w:t xml:space="preserve">. If </w:t>
      </w:r>
      <w:r w:rsidR="00C550A1" w:rsidRPr="00A911BB">
        <w:rPr>
          <w:rFonts w:ascii="Roboto Light" w:hAnsi="Roboto Light" w:cs="Arial"/>
          <w:color w:val="202426"/>
          <w:sz w:val="21"/>
          <w:szCs w:val="21"/>
        </w:rPr>
        <w:t>the budget</w:t>
      </w:r>
      <w:r w:rsidRPr="00A911BB">
        <w:rPr>
          <w:rFonts w:ascii="Roboto Light" w:hAnsi="Roboto Light" w:cs="Arial"/>
          <w:color w:val="202426"/>
          <w:sz w:val="21"/>
          <w:szCs w:val="21"/>
        </w:rPr>
        <w:t xml:space="preserve"> is too low, then it offers little to innovators</w:t>
      </w:r>
      <w:r w:rsidR="002945F1" w:rsidRPr="00A911BB">
        <w:rPr>
          <w:rFonts w:ascii="Roboto Light" w:hAnsi="Roboto Light" w:cs="Arial"/>
          <w:color w:val="202426"/>
          <w:sz w:val="21"/>
          <w:szCs w:val="21"/>
        </w:rPr>
        <w:t>; it seems unlikely that it would ever be too high</w:t>
      </w:r>
      <w:r w:rsidRPr="00A911BB">
        <w:rPr>
          <w:rFonts w:ascii="Roboto Light" w:hAnsi="Roboto Light" w:cs="Arial"/>
          <w:color w:val="202426"/>
          <w:sz w:val="21"/>
          <w:szCs w:val="21"/>
        </w:rPr>
        <w:t xml:space="preserve">. </w:t>
      </w:r>
      <w:r w:rsidR="004741BD" w:rsidRPr="00A911BB">
        <w:rPr>
          <w:rFonts w:ascii="Roboto Light" w:hAnsi="Roboto Light" w:cs="Arial"/>
          <w:color w:val="202426"/>
          <w:sz w:val="21"/>
          <w:szCs w:val="21"/>
        </w:rPr>
        <w:t>T</w:t>
      </w:r>
      <w:r w:rsidRPr="00A911BB">
        <w:rPr>
          <w:rFonts w:ascii="Roboto Light" w:hAnsi="Roboto Light" w:cs="Arial"/>
          <w:color w:val="202426"/>
          <w:sz w:val="21"/>
          <w:szCs w:val="21"/>
        </w:rPr>
        <w:t xml:space="preserve">he price per QALY needs to account </w:t>
      </w:r>
      <w:r w:rsidR="004741BD" w:rsidRPr="00A911BB">
        <w:rPr>
          <w:rFonts w:ascii="Roboto Light" w:hAnsi="Roboto Light" w:cs="Arial"/>
          <w:color w:val="202426"/>
          <w:sz w:val="21"/>
          <w:szCs w:val="21"/>
        </w:rPr>
        <w:t>for</w:t>
      </w:r>
      <w:r w:rsidRPr="00A911BB">
        <w:rPr>
          <w:rFonts w:ascii="Roboto Light" w:hAnsi="Roboto Light" w:cs="Arial"/>
          <w:color w:val="202426"/>
          <w:sz w:val="21"/>
          <w:szCs w:val="21"/>
        </w:rPr>
        <w:t xml:space="preserve"> the willingness to pay for health gains in each jurisdiction in which it operates.  </w:t>
      </w:r>
    </w:p>
    <w:p w14:paraId="7AB401FA" w14:textId="7DF30B24" w:rsidR="00FF2D59" w:rsidRPr="00A911BB" w:rsidRDefault="00FF2D59" w:rsidP="00FF2D59">
      <w:pPr>
        <w:rPr>
          <w:rFonts w:ascii="Roboto Light" w:hAnsi="Roboto Light" w:cs="Arial"/>
          <w:color w:val="202426"/>
          <w:sz w:val="21"/>
          <w:szCs w:val="21"/>
        </w:rPr>
      </w:pPr>
      <w:r w:rsidRPr="00A911BB">
        <w:rPr>
          <w:rFonts w:ascii="Roboto Light" w:hAnsi="Roboto Light" w:cs="Arial"/>
          <w:color w:val="202426"/>
          <w:sz w:val="21"/>
          <w:szCs w:val="21"/>
        </w:rPr>
        <w:t xml:space="preserve">The ODRS could be vulnerable to systematic underfunding. The escape valve for this is that firms would not be required to use it. Of course, if the government underfunded the reward system </w:t>
      </w:r>
      <w:proofErr w:type="gramStart"/>
      <w:r w:rsidRPr="00A911BB">
        <w:rPr>
          <w:rFonts w:ascii="Roboto Light" w:hAnsi="Roboto Light" w:cs="Arial"/>
          <w:color w:val="202426"/>
          <w:sz w:val="21"/>
          <w:szCs w:val="21"/>
        </w:rPr>
        <w:t>and also</w:t>
      </w:r>
      <w:proofErr w:type="gramEnd"/>
      <w:r w:rsidRPr="00A911BB">
        <w:rPr>
          <w:rFonts w:ascii="Roboto Light" w:hAnsi="Roboto Light" w:cs="Arial"/>
          <w:color w:val="202426"/>
          <w:sz w:val="21"/>
          <w:szCs w:val="21"/>
        </w:rPr>
        <w:t xml:space="preserve"> refused to pay high prices for drugs outside the reward system, that would undermine incentives for innovation. </w:t>
      </w:r>
      <w:r w:rsidR="00D13DEE" w:rsidRPr="00A911BB">
        <w:rPr>
          <w:rFonts w:ascii="Roboto Light" w:hAnsi="Roboto Light" w:cs="Arial"/>
          <w:color w:val="202426"/>
          <w:sz w:val="21"/>
          <w:szCs w:val="21"/>
        </w:rPr>
        <w:t>The ODRS would also need some degree of cooperation with national or private insurers to operate optimally. Achieving such cooperation would undoubtedly be challenging in some countries.</w:t>
      </w:r>
    </w:p>
    <w:p w14:paraId="7469A3FF" w14:textId="74BCF403" w:rsidR="00FF2D59" w:rsidRPr="00382EEF" w:rsidRDefault="004741BD"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8</w:t>
      </w:r>
      <w:r w:rsidR="00D13DEE" w:rsidRPr="00382EEF">
        <w:rPr>
          <w:rFonts w:ascii="Roboto" w:hAnsi="Roboto"/>
          <w:b w:val="0"/>
          <w:bCs w:val="0"/>
          <w:caps/>
          <w:color w:val="EB2E3D"/>
          <w:sz w:val="26"/>
          <w:szCs w:val="26"/>
          <w:u w:val="none"/>
        </w:rPr>
        <w:t xml:space="preserve">. </w:t>
      </w:r>
      <w:r w:rsidR="00FF2D59" w:rsidRPr="00382EEF">
        <w:rPr>
          <w:rFonts w:ascii="Roboto" w:hAnsi="Roboto"/>
          <w:b w:val="0"/>
          <w:bCs w:val="0"/>
          <w:caps/>
          <w:color w:val="EB2E3D"/>
          <w:sz w:val="26"/>
          <w:szCs w:val="26"/>
          <w:u w:val="none"/>
        </w:rPr>
        <w:t>Summary</w:t>
      </w:r>
    </w:p>
    <w:p w14:paraId="37CAD499" w14:textId="26B09E30" w:rsidR="00FE7A1E" w:rsidRPr="00A911BB" w:rsidRDefault="000F678E" w:rsidP="00FF2D59">
      <w:pPr>
        <w:rPr>
          <w:rFonts w:ascii="Roboto Light" w:hAnsi="Roboto Light" w:cs="Arial"/>
          <w:color w:val="202426"/>
          <w:sz w:val="21"/>
          <w:szCs w:val="21"/>
        </w:rPr>
      </w:pPr>
      <w:r w:rsidRPr="00A911BB">
        <w:rPr>
          <w:rFonts w:ascii="Roboto Light" w:hAnsi="Roboto Light" w:cs="Arial"/>
          <w:color w:val="202426"/>
          <w:sz w:val="21"/>
          <w:szCs w:val="21"/>
        </w:rPr>
        <w:lastRenderedPageBreak/>
        <w:t xml:space="preserve">Our current pharmaceutical market is undermined by </w:t>
      </w:r>
      <w:r w:rsidR="00E0675B" w:rsidRPr="00A911BB">
        <w:rPr>
          <w:rFonts w:ascii="Roboto Light" w:hAnsi="Roboto Light" w:cs="Arial"/>
          <w:color w:val="202426"/>
          <w:sz w:val="21"/>
          <w:szCs w:val="21"/>
        </w:rPr>
        <w:t>trying to use</w:t>
      </w:r>
      <w:r w:rsidRPr="00A911BB">
        <w:rPr>
          <w:rFonts w:ascii="Roboto Light" w:hAnsi="Roboto Light" w:cs="Arial"/>
          <w:color w:val="202426"/>
          <w:sz w:val="21"/>
          <w:szCs w:val="21"/>
        </w:rPr>
        <w:t xml:space="preserve"> a single tool – price – to achieve </w:t>
      </w:r>
      <w:r w:rsidR="00E0675B" w:rsidRPr="00A911BB">
        <w:rPr>
          <w:rFonts w:ascii="Roboto Light" w:hAnsi="Roboto Light" w:cs="Arial"/>
          <w:color w:val="202426"/>
          <w:sz w:val="21"/>
          <w:szCs w:val="21"/>
        </w:rPr>
        <w:t>multiple</w:t>
      </w:r>
      <w:r w:rsidRPr="00A911BB">
        <w:rPr>
          <w:rFonts w:ascii="Roboto Light" w:hAnsi="Roboto Light" w:cs="Arial"/>
          <w:color w:val="202426"/>
          <w:sz w:val="21"/>
          <w:szCs w:val="21"/>
        </w:rPr>
        <w:t xml:space="preserve"> objectives. </w:t>
      </w:r>
      <w:r w:rsidR="00E0675B" w:rsidRPr="00A911BB">
        <w:rPr>
          <w:rFonts w:ascii="Roboto Light" w:hAnsi="Roboto Light" w:cs="Arial"/>
          <w:color w:val="202426"/>
          <w:sz w:val="21"/>
          <w:szCs w:val="21"/>
        </w:rPr>
        <w:t xml:space="preserve">This creates unproductive conflict between patients and industry, </w:t>
      </w:r>
      <w:r w:rsidR="00F72DC4" w:rsidRPr="00A911BB">
        <w:rPr>
          <w:rFonts w:ascii="Roboto Light" w:hAnsi="Roboto Light" w:cs="Arial"/>
          <w:color w:val="202426"/>
          <w:sz w:val="21"/>
          <w:szCs w:val="21"/>
        </w:rPr>
        <w:t>rather than a shared</w:t>
      </w:r>
      <w:r w:rsidR="00E0675B" w:rsidRPr="00A911BB">
        <w:rPr>
          <w:rFonts w:ascii="Roboto Light" w:hAnsi="Roboto Light" w:cs="Arial"/>
          <w:color w:val="202426"/>
          <w:sz w:val="21"/>
          <w:szCs w:val="21"/>
        </w:rPr>
        <w:t xml:space="preserve"> focus on </w:t>
      </w:r>
      <w:r w:rsidR="00FE6D7A" w:rsidRPr="00A911BB">
        <w:rPr>
          <w:rFonts w:ascii="Roboto Light" w:hAnsi="Roboto Light" w:cs="Arial"/>
          <w:color w:val="202426"/>
          <w:sz w:val="21"/>
          <w:szCs w:val="21"/>
        </w:rPr>
        <w:t>the question of how to maximise the development of drugs for the benefit of population health.</w:t>
      </w:r>
      <w:r w:rsidR="00E0675B" w:rsidRPr="00A911BB">
        <w:rPr>
          <w:rFonts w:ascii="Roboto Light" w:hAnsi="Roboto Light" w:cs="Arial"/>
          <w:color w:val="202426"/>
          <w:sz w:val="21"/>
          <w:szCs w:val="21"/>
        </w:rPr>
        <w:t xml:space="preserve"> </w:t>
      </w:r>
      <w:r w:rsidRPr="00A911BB">
        <w:rPr>
          <w:rFonts w:ascii="Roboto Light" w:hAnsi="Roboto Light" w:cs="Arial"/>
          <w:color w:val="202426"/>
          <w:sz w:val="21"/>
          <w:szCs w:val="21"/>
        </w:rPr>
        <w:t>By offering an option in which price is used to support access, and separate payments are used to support innovation, the ODRS can improve outcomes in the pharmaceutical market for patients, payers, and industry. The ODRS can help to minimi</w:t>
      </w:r>
      <w:r w:rsidR="00F72DC4" w:rsidRPr="00A911BB">
        <w:rPr>
          <w:rFonts w:ascii="Roboto Light" w:hAnsi="Roboto Light" w:cs="Arial"/>
          <w:color w:val="202426"/>
          <w:sz w:val="21"/>
          <w:szCs w:val="21"/>
        </w:rPr>
        <w:t>s</w:t>
      </w:r>
      <w:r w:rsidRPr="00A911BB">
        <w:rPr>
          <w:rFonts w:ascii="Roboto Light" w:hAnsi="Roboto Light" w:cs="Arial"/>
          <w:color w:val="202426"/>
          <w:sz w:val="21"/>
          <w:szCs w:val="21"/>
        </w:rPr>
        <w:t>e opportunism by insurers by creating a transparent</w:t>
      </w:r>
      <w:r w:rsidR="00B601FE" w:rsidRPr="00A911BB">
        <w:rPr>
          <w:rFonts w:ascii="Roboto Light" w:hAnsi="Roboto Light" w:cs="Arial"/>
          <w:color w:val="202426"/>
          <w:sz w:val="21"/>
          <w:szCs w:val="21"/>
        </w:rPr>
        <w:t>, competitive</w:t>
      </w:r>
      <w:r w:rsidRPr="00A911BB">
        <w:rPr>
          <w:rFonts w:ascii="Roboto Light" w:hAnsi="Roboto Light" w:cs="Arial"/>
          <w:color w:val="202426"/>
          <w:sz w:val="21"/>
          <w:szCs w:val="21"/>
        </w:rPr>
        <w:t xml:space="preserve"> model for innovation rewards; it can help to accelerate access to new therapies, benefiting both patients and industry; it can create a better pricing structure for multi-indication drugs and support clinical trials for secondary indications.</w:t>
      </w:r>
    </w:p>
    <w:p w14:paraId="1355EA2B" w14:textId="7B3304B6" w:rsidR="00FF2D59" w:rsidRPr="00A911BB" w:rsidRDefault="000A7804" w:rsidP="00FF2D59">
      <w:pPr>
        <w:rPr>
          <w:rFonts w:ascii="Roboto Light" w:hAnsi="Roboto Light" w:cs="Arial"/>
          <w:color w:val="202426"/>
          <w:sz w:val="21"/>
          <w:szCs w:val="21"/>
        </w:rPr>
      </w:pPr>
      <w:r w:rsidRPr="00A911BB">
        <w:rPr>
          <w:rFonts w:ascii="Roboto Light" w:hAnsi="Roboto Light" w:cs="Arial"/>
          <w:color w:val="202426"/>
          <w:sz w:val="21"/>
          <w:szCs w:val="21"/>
        </w:rPr>
        <w:t xml:space="preserve">In summary, the ODRS offers to a way to make pharmaceutical prices fairer while </w:t>
      </w:r>
      <w:r w:rsidR="00FC2FD5" w:rsidRPr="00A911BB">
        <w:rPr>
          <w:rFonts w:ascii="Roboto Light" w:hAnsi="Roboto Light" w:cs="Arial"/>
          <w:color w:val="202426"/>
          <w:sz w:val="21"/>
          <w:szCs w:val="21"/>
        </w:rPr>
        <w:t>enabling</w:t>
      </w:r>
      <w:r w:rsidRPr="00A911BB">
        <w:rPr>
          <w:rFonts w:ascii="Roboto Light" w:hAnsi="Roboto Light" w:cs="Arial"/>
          <w:color w:val="202426"/>
          <w:sz w:val="21"/>
          <w:szCs w:val="21"/>
        </w:rPr>
        <w:t xml:space="preserve"> the innovation our society urgently needs.</w:t>
      </w:r>
    </w:p>
    <w:p w14:paraId="62053D20" w14:textId="2EE5A1D9" w:rsidR="00FF2D59" w:rsidRDefault="00FF2D59" w:rsidP="00FF2D59">
      <w:pPr>
        <w:rPr>
          <w:rFonts w:ascii="Arial" w:hAnsi="Arial" w:cs="Arial"/>
          <w:color w:val="202426"/>
          <w:sz w:val="21"/>
          <w:szCs w:val="21"/>
        </w:rPr>
      </w:pPr>
    </w:p>
    <w:p w14:paraId="3A7ED2FB" w14:textId="2E70B629" w:rsidR="00F36FF0" w:rsidRDefault="00F36FF0" w:rsidP="00FF2D59">
      <w:pPr>
        <w:rPr>
          <w:rFonts w:ascii="Arial" w:hAnsi="Arial" w:cs="Arial"/>
          <w:color w:val="202426"/>
          <w:sz w:val="21"/>
          <w:szCs w:val="21"/>
        </w:rPr>
      </w:pPr>
    </w:p>
    <w:p w14:paraId="3509079B" w14:textId="36758E71" w:rsidR="00F36FF0" w:rsidRDefault="00F36FF0" w:rsidP="00FF2D59">
      <w:pPr>
        <w:rPr>
          <w:rFonts w:ascii="Arial" w:hAnsi="Arial" w:cs="Arial"/>
          <w:color w:val="202426"/>
          <w:sz w:val="21"/>
          <w:szCs w:val="21"/>
        </w:rPr>
      </w:pPr>
    </w:p>
    <w:p w14:paraId="56E64351" w14:textId="5AB15217" w:rsidR="00F36FF0" w:rsidRDefault="00F36FF0" w:rsidP="00FF2D59">
      <w:pPr>
        <w:rPr>
          <w:rFonts w:ascii="Arial" w:hAnsi="Arial" w:cs="Arial"/>
          <w:color w:val="202426"/>
          <w:sz w:val="21"/>
          <w:szCs w:val="21"/>
        </w:rPr>
      </w:pPr>
    </w:p>
    <w:p w14:paraId="5FA72A20" w14:textId="2B07EB70" w:rsidR="00F36FF0" w:rsidRDefault="00F36FF0" w:rsidP="00FF2D59">
      <w:pPr>
        <w:rPr>
          <w:rFonts w:ascii="Arial" w:hAnsi="Arial" w:cs="Arial"/>
          <w:color w:val="202426"/>
          <w:sz w:val="21"/>
          <w:szCs w:val="21"/>
        </w:rPr>
      </w:pPr>
    </w:p>
    <w:p w14:paraId="69DFEB0C" w14:textId="4E491083" w:rsidR="00F36FF0" w:rsidRDefault="00F36FF0" w:rsidP="00FF2D59">
      <w:pPr>
        <w:rPr>
          <w:rFonts w:ascii="Arial" w:hAnsi="Arial" w:cs="Arial"/>
          <w:color w:val="202426"/>
          <w:sz w:val="21"/>
          <w:szCs w:val="21"/>
        </w:rPr>
      </w:pPr>
    </w:p>
    <w:p w14:paraId="640B53AB" w14:textId="2195BE69" w:rsidR="00F36FF0" w:rsidRDefault="00F36FF0" w:rsidP="00FF2D59">
      <w:pPr>
        <w:rPr>
          <w:rFonts w:ascii="Arial" w:hAnsi="Arial" w:cs="Arial"/>
          <w:color w:val="202426"/>
          <w:sz w:val="21"/>
          <w:szCs w:val="21"/>
        </w:rPr>
      </w:pPr>
    </w:p>
    <w:p w14:paraId="08B67C38" w14:textId="5BC81B0D" w:rsidR="00F36FF0" w:rsidRDefault="00F36FF0" w:rsidP="00FF2D59">
      <w:pPr>
        <w:rPr>
          <w:rFonts w:ascii="Arial" w:hAnsi="Arial" w:cs="Arial"/>
          <w:color w:val="202426"/>
          <w:sz w:val="21"/>
          <w:szCs w:val="21"/>
        </w:rPr>
      </w:pPr>
    </w:p>
    <w:p w14:paraId="26C2B018" w14:textId="15EA518D" w:rsidR="00F36FF0" w:rsidRDefault="00F36FF0" w:rsidP="00FF2D59">
      <w:pPr>
        <w:rPr>
          <w:rFonts w:ascii="Arial" w:hAnsi="Arial" w:cs="Arial"/>
          <w:color w:val="202426"/>
          <w:sz w:val="21"/>
          <w:szCs w:val="21"/>
        </w:rPr>
      </w:pPr>
    </w:p>
    <w:p w14:paraId="594756FA" w14:textId="20E09CF9" w:rsidR="00F36FF0" w:rsidRDefault="00F36FF0" w:rsidP="00FF2D59">
      <w:pPr>
        <w:rPr>
          <w:rFonts w:ascii="Arial" w:hAnsi="Arial" w:cs="Arial"/>
          <w:color w:val="202426"/>
          <w:sz w:val="21"/>
          <w:szCs w:val="21"/>
        </w:rPr>
      </w:pPr>
    </w:p>
    <w:p w14:paraId="63F2C25D" w14:textId="731755AE" w:rsidR="00F36FF0" w:rsidRDefault="00F36FF0" w:rsidP="00FF2D59">
      <w:pPr>
        <w:rPr>
          <w:rFonts w:ascii="Arial" w:hAnsi="Arial" w:cs="Arial"/>
          <w:color w:val="202426"/>
          <w:sz w:val="21"/>
          <w:szCs w:val="21"/>
        </w:rPr>
      </w:pPr>
    </w:p>
    <w:p w14:paraId="613EE3A1" w14:textId="44AF7539" w:rsidR="00F36FF0" w:rsidRDefault="00F36FF0" w:rsidP="00FF2D59">
      <w:pPr>
        <w:rPr>
          <w:rFonts w:ascii="Arial" w:hAnsi="Arial" w:cs="Arial"/>
          <w:color w:val="202426"/>
          <w:sz w:val="21"/>
          <w:szCs w:val="21"/>
        </w:rPr>
      </w:pPr>
    </w:p>
    <w:p w14:paraId="1A30EE77" w14:textId="62390E24" w:rsidR="00F36FF0" w:rsidRDefault="00F36FF0" w:rsidP="00FF2D59">
      <w:pPr>
        <w:rPr>
          <w:rFonts w:ascii="Arial" w:hAnsi="Arial" w:cs="Arial"/>
          <w:color w:val="202426"/>
          <w:sz w:val="21"/>
          <w:szCs w:val="21"/>
        </w:rPr>
      </w:pPr>
    </w:p>
    <w:p w14:paraId="41E05CC9" w14:textId="57545F76" w:rsidR="00F36FF0" w:rsidRDefault="00F36FF0" w:rsidP="00FF2D59">
      <w:pPr>
        <w:rPr>
          <w:rFonts w:ascii="Arial" w:hAnsi="Arial" w:cs="Arial"/>
          <w:color w:val="202426"/>
          <w:sz w:val="21"/>
          <w:szCs w:val="21"/>
        </w:rPr>
      </w:pPr>
    </w:p>
    <w:p w14:paraId="5ADF26E7" w14:textId="77777777" w:rsidR="00F36FF0" w:rsidRDefault="00F36FF0" w:rsidP="00FF2D59">
      <w:pPr>
        <w:rPr>
          <w:rFonts w:ascii="Arial" w:hAnsi="Arial" w:cs="Arial"/>
          <w:color w:val="202426"/>
          <w:sz w:val="21"/>
          <w:szCs w:val="21"/>
        </w:rPr>
      </w:pPr>
    </w:p>
    <w:p w14:paraId="7E06D5BB" w14:textId="77777777" w:rsidR="00FF2D59" w:rsidRPr="00382EEF" w:rsidRDefault="00FF2D59" w:rsidP="00A911BB">
      <w:pPr>
        <w:pStyle w:val="Heading1"/>
        <w:spacing w:before="400" w:after="60"/>
        <w:rPr>
          <w:rFonts w:ascii="Roboto" w:hAnsi="Roboto"/>
          <w:b w:val="0"/>
          <w:bCs w:val="0"/>
          <w:caps/>
          <w:color w:val="EB2E3D"/>
          <w:sz w:val="26"/>
          <w:szCs w:val="26"/>
          <w:u w:val="none"/>
        </w:rPr>
      </w:pPr>
      <w:r w:rsidRPr="00382EEF">
        <w:rPr>
          <w:rFonts w:ascii="Roboto" w:hAnsi="Roboto"/>
          <w:b w:val="0"/>
          <w:bCs w:val="0"/>
          <w:caps/>
          <w:color w:val="EB2E3D"/>
          <w:sz w:val="26"/>
          <w:szCs w:val="26"/>
          <w:u w:val="none"/>
        </w:rPr>
        <w:t>References</w:t>
      </w:r>
    </w:p>
    <w:p w14:paraId="460376D2" w14:textId="1E4AB392" w:rsidR="00946275" w:rsidRPr="00F36FF0" w:rsidRDefault="00FF2D59"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color w:val="202426"/>
          <w:sz w:val="19"/>
          <w:szCs w:val="19"/>
        </w:rPr>
        <w:fldChar w:fldCharType="begin" w:fldLock="1"/>
      </w:r>
      <w:r w:rsidRPr="00F36FF0">
        <w:rPr>
          <w:rFonts w:ascii="Roboto Light" w:hAnsi="Roboto Light" w:cs="Arial"/>
          <w:color w:val="202426"/>
          <w:sz w:val="19"/>
          <w:szCs w:val="19"/>
        </w:rPr>
        <w:instrText xml:space="preserve">ADDIN Mendeley Bibliography CSL_BIBLIOGRAPHY </w:instrText>
      </w:r>
      <w:r w:rsidRPr="00F36FF0">
        <w:rPr>
          <w:rFonts w:ascii="Roboto Light" w:hAnsi="Roboto Light" w:cs="Arial"/>
          <w:color w:val="202426"/>
          <w:sz w:val="19"/>
          <w:szCs w:val="19"/>
        </w:rPr>
        <w:fldChar w:fldCharType="separate"/>
      </w:r>
      <w:r w:rsidR="00946275" w:rsidRPr="00F36FF0">
        <w:rPr>
          <w:rFonts w:ascii="Roboto Light" w:hAnsi="Roboto Light" w:cs="Arial"/>
          <w:noProof/>
          <w:sz w:val="19"/>
          <w:szCs w:val="19"/>
          <w:lang w:val="en-US"/>
        </w:rPr>
        <w:t xml:space="preserve">1. </w:t>
      </w:r>
      <w:r w:rsidR="00946275" w:rsidRPr="00F36FF0">
        <w:rPr>
          <w:rFonts w:ascii="Roboto Light" w:hAnsi="Roboto Light" w:cs="Arial"/>
          <w:noProof/>
          <w:sz w:val="19"/>
          <w:szCs w:val="19"/>
          <w:lang w:val="en-US"/>
        </w:rPr>
        <w:tab/>
        <w:t xml:space="preserve">OECD. Pharmaceutical spending (indicator). 2022. </w:t>
      </w:r>
    </w:p>
    <w:p w14:paraId="0DF238C0"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 </w:t>
      </w:r>
      <w:r w:rsidRPr="00F36FF0">
        <w:rPr>
          <w:rFonts w:ascii="Roboto Light" w:hAnsi="Roboto Light" w:cs="Arial"/>
          <w:noProof/>
          <w:sz w:val="19"/>
          <w:szCs w:val="19"/>
          <w:lang w:val="en-US"/>
        </w:rPr>
        <w:tab/>
        <w:t xml:space="preserve">Tinbergen J. On the theory of economic policy. 1952. </w:t>
      </w:r>
    </w:p>
    <w:p w14:paraId="2077C4CA"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3. </w:t>
      </w:r>
      <w:r w:rsidRPr="00F36FF0">
        <w:rPr>
          <w:rFonts w:ascii="Roboto Light" w:hAnsi="Roboto Light" w:cs="Arial"/>
          <w:noProof/>
          <w:sz w:val="19"/>
          <w:szCs w:val="19"/>
          <w:lang w:val="en-US"/>
        </w:rPr>
        <w:tab/>
        <w:t xml:space="preserve">Moradpour J, Hollis A. The economic theory of cost-effectiveness thresholds in health: Domestic and international implications. Health Econ. 2021;30(5):1139–51. </w:t>
      </w:r>
    </w:p>
    <w:p w14:paraId="2DC54536"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lastRenderedPageBreak/>
        <w:t xml:space="preserve">4. </w:t>
      </w:r>
      <w:r w:rsidRPr="00F36FF0">
        <w:rPr>
          <w:rFonts w:ascii="Roboto Light" w:hAnsi="Roboto Light" w:cs="Arial"/>
          <w:noProof/>
          <w:sz w:val="19"/>
          <w:szCs w:val="19"/>
          <w:lang w:val="en-US"/>
        </w:rPr>
        <w:tab/>
        <w:t xml:space="preserve">Linde S, Norton B, Siebert R. The effect of bargaining power determinants on pharmaceutical prices. Available SSRN 3507259. 2019; </w:t>
      </w:r>
    </w:p>
    <w:p w14:paraId="03FCFB91"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5. </w:t>
      </w:r>
      <w:r w:rsidRPr="00F36FF0">
        <w:rPr>
          <w:rFonts w:ascii="Roboto Light" w:hAnsi="Roboto Light" w:cs="Arial"/>
          <w:noProof/>
          <w:sz w:val="19"/>
          <w:szCs w:val="19"/>
          <w:lang w:val="en-US"/>
        </w:rPr>
        <w:tab/>
        <w:t xml:space="preserve">Berdud M, Ferraro J, Towse A. A theory on ICER pricing and optimal level of cost-effectiveness threshold: a bargaining approach. OHE Consulting Report. London; 2020. </w:t>
      </w:r>
    </w:p>
    <w:p w14:paraId="1B4BA014"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6. </w:t>
      </w:r>
      <w:r w:rsidRPr="00F36FF0">
        <w:rPr>
          <w:rFonts w:ascii="Roboto Light" w:hAnsi="Roboto Light" w:cs="Arial"/>
          <w:noProof/>
          <w:sz w:val="19"/>
          <w:szCs w:val="19"/>
          <w:lang w:val="en-US"/>
        </w:rPr>
        <w:tab/>
        <w:t xml:space="preserve">Binmore K, Rubinstein A, Wolinsky A. The Nash bargaining solution in economic modelling. RAND J Econ. 1986;176–88. </w:t>
      </w:r>
    </w:p>
    <w:p w14:paraId="3F48CDCC"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7. </w:t>
      </w:r>
      <w:r w:rsidRPr="00F36FF0">
        <w:rPr>
          <w:rFonts w:ascii="Roboto Light" w:hAnsi="Roboto Light" w:cs="Arial"/>
          <w:noProof/>
          <w:sz w:val="19"/>
          <w:szCs w:val="19"/>
          <w:lang w:val="en-US"/>
        </w:rPr>
        <w:tab/>
        <w:t xml:space="preserve">Morgan SG, Vogler S, Wagner AK. Payers’ experiences with confidential pharmaceutical price discounts: a survey of public and statutory health systems in North America, Europe, and Australasia. Health Policy (New York). 2017;121(4):354–62. </w:t>
      </w:r>
    </w:p>
    <w:p w14:paraId="670BDD3B"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8. </w:t>
      </w:r>
      <w:r w:rsidRPr="00F36FF0">
        <w:rPr>
          <w:rFonts w:ascii="Roboto Light" w:hAnsi="Roboto Light" w:cs="Arial"/>
          <w:noProof/>
          <w:sz w:val="19"/>
          <w:szCs w:val="19"/>
          <w:lang w:val="en-US"/>
        </w:rPr>
        <w:tab/>
        <w:t xml:space="preserve">European Federation of Pharmaceutical Industries and Associations. The root cause of unavailability and delay to innovative medicines: Reducing the time before patients have access to innovative medicines. 2020. </w:t>
      </w:r>
    </w:p>
    <w:p w14:paraId="4D32FD45"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9. </w:t>
      </w:r>
      <w:r w:rsidRPr="00F36FF0">
        <w:rPr>
          <w:rFonts w:ascii="Roboto Light" w:hAnsi="Roboto Light" w:cs="Arial"/>
          <w:noProof/>
          <w:sz w:val="19"/>
          <w:szCs w:val="19"/>
          <w:lang w:val="en-US"/>
        </w:rPr>
        <w:tab/>
        <w:t>Salek S, Lussier Hoskyn S, Johns JR, Allen N, Sehgal C. Factors Influencing Delays in Patient Access to New Medicines in Canada: A Retrospective Study of Reimbursement Processes in Public Drug Plans. Front Pharmacol [Internet]. 2019;10. Available from: https://www.frontiersin.org/articles/10.3389/fphar.2019.00196</w:t>
      </w:r>
    </w:p>
    <w:p w14:paraId="382B1BEE"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10. </w:t>
      </w:r>
      <w:r w:rsidRPr="00F36FF0">
        <w:rPr>
          <w:rFonts w:ascii="Roboto Light" w:hAnsi="Roboto Light" w:cs="Arial"/>
          <w:noProof/>
          <w:sz w:val="19"/>
          <w:szCs w:val="19"/>
          <w:lang w:val="en-US"/>
        </w:rPr>
        <w:tab/>
        <w:t>Shih Y-R, Liao K-H, Chen Y-H, Lin F-J, Hsiao F-Y. Reimbursement Lag of New Drugs Under Taiwan’s National Health Insurance System Compared With United Kingdom, Canada, Australia, Japan, and South Korea. Clin Transl Sci [Internet]. 2020;13(5):916–22. Available from: https://ascpt.onlinelibrary.wiley.com/doi/abs/10.1111/cts.12778</w:t>
      </w:r>
    </w:p>
    <w:p w14:paraId="68DB4776"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11. </w:t>
      </w:r>
      <w:r w:rsidRPr="00F36FF0">
        <w:rPr>
          <w:rFonts w:ascii="Roboto Light" w:hAnsi="Roboto Light" w:cs="Arial"/>
          <w:noProof/>
          <w:sz w:val="19"/>
          <w:szCs w:val="19"/>
          <w:lang w:val="en-US"/>
        </w:rPr>
        <w:tab/>
        <w:t xml:space="preserve">Kanavos P, Fontrier A-M, Gill J, Efthymiadou O. Does external reference pricing deliver what it promises? Evidence on its impact at national level. Eur J Heal Econ. 2020;21(1):129–51. </w:t>
      </w:r>
    </w:p>
    <w:p w14:paraId="3F515714"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12. </w:t>
      </w:r>
      <w:r w:rsidRPr="00F36FF0">
        <w:rPr>
          <w:rFonts w:ascii="Roboto Light" w:hAnsi="Roboto Light" w:cs="Arial"/>
          <w:noProof/>
          <w:sz w:val="19"/>
          <w:szCs w:val="19"/>
          <w:lang w:val="en-US"/>
        </w:rPr>
        <w:tab/>
        <w:t xml:space="preserve">Lichtenberg FR. The impact of new drug launches on longevity: evidence from longitudinal, disease-level data from 52 countries, 1982--2001. Int J Health Care Finance Econ. 2005;5(1):47–73. </w:t>
      </w:r>
    </w:p>
    <w:p w14:paraId="2E86729C"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13. </w:t>
      </w:r>
      <w:r w:rsidRPr="00F36FF0">
        <w:rPr>
          <w:rFonts w:ascii="Roboto Light" w:hAnsi="Roboto Light" w:cs="Arial"/>
          <w:noProof/>
          <w:sz w:val="19"/>
          <w:szCs w:val="19"/>
          <w:lang w:val="en-US"/>
        </w:rPr>
        <w:tab/>
        <w:t>Vanderpuye-Orgle J, Erim D, Qian Y, Boyne DJ, Cheung WY, Bebb G, et al. Estimating the Impact of Delayed Access to Oncology Drugs on Patient Outcomes in Canada. Oncol Ther [Internet]. 2022;10(1):195–210. Available from: https://doi.org/10.1007/s40487-022-00187-3</w:t>
      </w:r>
    </w:p>
    <w:p w14:paraId="76E78410"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14. </w:t>
      </w:r>
      <w:r w:rsidRPr="00F36FF0">
        <w:rPr>
          <w:rFonts w:ascii="Roboto Light" w:hAnsi="Roboto Light" w:cs="Arial"/>
          <w:noProof/>
          <w:sz w:val="19"/>
          <w:szCs w:val="19"/>
          <w:lang w:val="en-US"/>
        </w:rPr>
        <w:tab/>
        <w:t xml:space="preserve">Law MR, Cheng L, Dhalla IA, Heard D, Morgan SG. The effect of cost on adherence to prescription medications in Canada. Cmaj. 2012;184(3):297–302. </w:t>
      </w:r>
    </w:p>
    <w:p w14:paraId="2AC25F43"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15. </w:t>
      </w:r>
      <w:r w:rsidRPr="00F36FF0">
        <w:rPr>
          <w:rFonts w:ascii="Roboto Light" w:hAnsi="Roboto Light" w:cs="Arial"/>
          <w:noProof/>
          <w:sz w:val="19"/>
          <w:szCs w:val="19"/>
          <w:lang w:val="en-US"/>
        </w:rPr>
        <w:tab/>
        <w:t xml:space="preserve">National Institute for Health and Care Excellence. Sofosbuvir for treating chronic hepatitis C Technology appraisal guidance [TA330]. 2015. </w:t>
      </w:r>
    </w:p>
    <w:p w14:paraId="7DCD5425"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16. </w:t>
      </w:r>
      <w:r w:rsidRPr="00F36FF0">
        <w:rPr>
          <w:rFonts w:ascii="Roboto Light" w:hAnsi="Roboto Light" w:cs="Arial"/>
          <w:noProof/>
          <w:sz w:val="19"/>
          <w:szCs w:val="19"/>
          <w:lang w:val="en-US"/>
        </w:rPr>
        <w:tab/>
        <w:t xml:space="preserve">Canary LA, Klevens RM, Holmberg SD. Limited access to new hepatitis C virus treatment under state Medicaid programs. Vol. 163, Annals of internal medicine. American College of Physicians; 2015. p. 226–8. </w:t>
      </w:r>
    </w:p>
    <w:p w14:paraId="4922023B"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17. </w:t>
      </w:r>
      <w:r w:rsidRPr="00F36FF0">
        <w:rPr>
          <w:rFonts w:ascii="Roboto Light" w:hAnsi="Roboto Light" w:cs="Arial"/>
          <w:noProof/>
          <w:sz w:val="19"/>
          <w:szCs w:val="19"/>
          <w:lang w:val="en-US"/>
        </w:rPr>
        <w:tab/>
        <w:t xml:space="preserve">Marshall AD, Saeed S, Barrett L, Cooper CL, Treloar C, Bruneau J, et al. Restrictions for reimbursement of direct-acting antiviral treatment for hepatitis C virus infection in Canada: a descriptive study. Can Med Assoc Open Access J. 2016;4(4):E605--E614. </w:t>
      </w:r>
    </w:p>
    <w:p w14:paraId="38BC75C3"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18. </w:t>
      </w:r>
      <w:r w:rsidRPr="00F36FF0">
        <w:rPr>
          <w:rFonts w:ascii="Roboto Light" w:hAnsi="Roboto Light" w:cs="Arial"/>
          <w:noProof/>
          <w:sz w:val="19"/>
          <w:szCs w:val="19"/>
          <w:lang w:val="en-US"/>
        </w:rPr>
        <w:tab/>
        <w:t xml:space="preserve">Scott N, Palmer MA, Tidhar MT, Stoove M, Sacks-Davis R, Pedrana A, et al. Assessment of the cost-effectiveness of Australia’s risk-sharing agreement for direct-acting antiviral treatments for hepatitis C: a modelling study. Lancet Reg Heal Pacific. 2022;18:100316. </w:t>
      </w:r>
    </w:p>
    <w:p w14:paraId="30FE9BFF"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19. </w:t>
      </w:r>
      <w:r w:rsidRPr="00F36FF0">
        <w:rPr>
          <w:rFonts w:ascii="Roboto Light" w:hAnsi="Roboto Light" w:cs="Arial"/>
          <w:noProof/>
          <w:sz w:val="19"/>
          <w:szCs w:val="19"/>
          <w:lang w:val="en-US"/>
        </w:rPr>
        <w:tab/>
        <w:t xml:space="preserve">Lurie BF, Rubinstein J, Rubinstein ER, Rosenblum SB, Ho Y. Are Pharmaceutical Companies Prioritizing Multi-Indication Drugs? Value Heal. 2017;20(9):A900. </w:t>
      </w:r>
    </w:p>
    <w:p w14:paraId="32B35D87"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lastRenderedPageBreak/>
        <w:t xml:space="preserve">20. </w:t>
      </w:r>
      <w:r w:rsidRPr="00F36FF0">
        <w:rPr>
          <w:rFonts w:ascii="Roboto Light" w:hAnsi="Roboto Light" w:cs="Arial"/>
          <w:noProof/>
          <w:sz w:val="19"/>
          <w:szCs w:val="19"/>
          <w:lang w:val="en-US"/>
        </w:rPr>
        <w:tab/>
        <w:t>Garrison LP, Veenstra DL. The economic value of innovative treatments over the product life cycle: The case of targeted trastuzumab therapy for breast cancer. Value Heal [Internet]. 2009;12(8):1118–23. Available from: http://dx.doi.org/10.1111/j.1524-4733.2009.00572.x</w:t>
      </w:r>
    </w:p>
    <w:p w14:paraId="2617E05B"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21. </w:t>
      </w:r>
      <w:r w:rsidRPr="00F36FF0">
        <w:rPr>
          <w:rFonts w:ascii="Roboto Light" w:hAnsi="Roboto Light" w:cs="Arial"/>
          <w:noProof/>
          <w:sz w:val="19"/>
          <w:szCs w:val="19"/>
          <w:lang w:val="en-US"/>
        </w:rPr>
        <w:tab/>
        <w:t xml:space="preserve">Pearson SD, Dreitlein WB, Henshall C, Towse A. Indication-specific pricing of pharmaceuticals in the US healthcare system. J Comp Eff Res. 2017;6(5):397–404. </w:t>
      </w:r>
    </w:p>
    <w:p w14:paraId="7D06D481"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22. </w:t>
      </w:r>
      <w:r w:rsidRPr="00F36FF0">
        <w:rPr>
          <w:rFonts w:ascii="Roboto Light" w:hAnsi="Roboto Light" w:cs="Arial"/>
          <w:noProof/>
          <w:sz w:val="19"/>
          <w:szCs w:val="19"/>
          <w:lang w:val="en-US"/>
        </w:rPr>
        <w:tab/>
        <w:t xml:space="preserve">Lu Y, Penrod JR, Sood N, Woodby S, Philipson T. Dynamic cost-effectiveness of oncology drugs. Am J Manag Care. 2012 Nov;18(11 Suppl):S249-56. </w:t>
      </w:r>
    </w:p>
    <w:p w14:paraId="0A1343B7"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23. </w:t>
      </w:r>
      <w:r w:rsidRPr="00F36FF0">
        <w:rPr>
          <w:rFonts w:ascii="Roboto Light" w:hAnsi="Roboto Light" w:cs="Arial"/>
          <w:noProof/>
          <w:sz w:val="19"/>
          <w:szCs w:val="19"/>
          <w:lang w:val="en-US"/>
        </w:rPr>
        <w:tab/>
        <w:t>Côté A, Keating B. What Is Wrong with Orphan Drug Policies? Value Heal [Internet]. 2012;15(8):1185–91. Available from: https://www.sciencedirect.com/science/article/pii/S1098301512041290</w:t>
      </w:r>
    </w:p>
    <w:p w14:paraId="201977DC"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24. </w:t>
      </w:r>
      <w:r w:rsidRPr="00F36FF0">
        <w:rPr>
          <w:rFonts w:ascii="Roboto Light" w:hAnsi="Roboto Light" w:cs="Arial"/>
          <w:noProof/>
          <w:sz w:val="19"/>
          <w:szCs w:val="19"/>
          <w:lang w:val="en-US"/>
        </w:rPr>
        <w:tab/>
        <w:t xml:space="preserve">Sahragardjoonegani B, Beall RF, Kesselheim AS, Hollis A. Repurposing existing drugs for new uses: a cohort study of the frequency of FDA-granted new indication exclusivities since 1997. J Pharm policy Pract. 2021;14(1):1–8. </w:t>
      </w:r>
    </w:p>
    <w:p w14:paraId="0C17E521"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25. </w:t>
      </w:r>
      <w:r w:rsidRPr="00F36FF0">
        <w:rPr>
          <w:rFonts w:ascii="Roboto Light" w:hAnsi="Roboto Light" w:cs="Arial"/>
          <w:noProof/>
          <w:sz w:val="19"/>
          <w:szCs w:val="19"/>
          <w:lang w:val="en-US"/>
        </w:rPr>
        <w:tab/>
        <w:t xml:space="preserve">Gandjour A. Willingness to pay for new medicines: a step towards narrowing the gap between NICE and IQWiG. BMC Health Serv Res. 2020;20(1):1–7. </w:t>
      </w:r>
    </w:p>
    <w:p w14:paraId="0BBDCAEE"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26. </w:t>
      </w:r>
      <w:r w:rsidRPr="00F36FF0">
        <w:rPr>
          <w:rFonts w:ascii="Roboto Light" w:hAnsi="Roboto Light" w:cs="Arial"/>
          <w:noProof/>
          <w:sz w:val="19"/>
          <w:szCs w:val="19"/>
          <w:lang w:val="en-US"/>
        </w:rPr>
        <w:tab/>
        <w:t>Wang B, Liu J, Kesselheim AS. Variations in time of market exclusivity among top-selling prescription drugs in the United States. JAMA Intern Med [Internet]. 2015;175(4):635–7. Available from: http://archinte.jamanetwork.com/article.aspx?articleID=2109854</w:t>
      </w:r>
    </w:p>
    <w:p w14:paraId="0B1EB8D2"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27. </w:t>
      </w:r>
      <w:r w:rsidRPr="00F36FF0">
        <w:rPr>
          <w:rFonts w:ascii="Roboto Light" w:hAnsi="Roboto Light" w:cs="Arial"/>
          <w:noProof/>
          <w:sz w:val="19"/>
          <w:szCs w:val="19"/>
          <w:lang w:val="en-US"/>
        </w:rPr>
        <w:tab/>
        <w:t>Lietzan E, Acri née Lybecker KML. The innovation paradox: pharmaceutical marketing exclusivity and incentives for drug development. J Pharm Heal Serv Res [Internet]. 2019 Jun 1;10(2):169–75. Available from: https://doi.org/10.1111/jphs.12288</w:t>
      </w:r>
    </w:p>
    <w:p w14:paraId="34A51825"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28. </w:t>
      </w:r>
      <w:r w:rsidRPr="00F36FF0">
        <w:rPr>
          <w:rFonts w:ascii="Roboto Light" w:hAnsi="Roboto Light" w:cs="Arial"/>
          <w:noProof/>
          <w:sz w:val="19"/>
          <w:szCs w:val="19"/>
          <w:lang w:val="en-US"/>
        </w:rPr>
        <w:tab/>
        <w:t>Budish E, Roin B, Williams H. Do firms underinvest in long-term research? Evidence from cancer clinical trials. Am Econ Rev [Internet]. 2015;105(7):2044–85. Available from: http://www.nber.org/papers/w19430</w:t>
      </w:r>
    </w:p>
    <w:p w14:paraId="3C9C24B3"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29. </w:t>
      </w:r>
      <w:r w:rsidRPr="00F36FF0">
        <w:rPr>
          <w:rFonts w:ascii="Roboto Light" w:hAnsi="Roboto Light" w:cs="Arial"/>
          <w:noProof/>
          <w:sz w:val="19"/>
          <w:szCs w:val="19"/>
          <w:lang w:val="en-US"/>
        </w:rPr>
        <w:tab/>
        <w:t>OECD Health Statistics. Focus on out-of-pocket spending: access to care and financial protection. [Internet]. 2019. Available from: https://www.oecd.org/health/health-systems/OECD-Focus-on-Out-of-Pocket-Spending-April-2019.pdf</w:t>
      </w:r>
    </w:p>
    <w:p w14:paraId="4D38B806"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30. </w:t>
      </w:r>
      <w:r w:rsidRPr="00F36FF0">
        <w:rPr>
          <w:rFonts w:ascii="Roboto Light" w:hAnsi="Roboto Light" w:cs="Arial"/>
          <w:noProof/>
          <w:sz w:val="19"/>
          <w:szCs w:val="19"/>
          <w:lang w:val="en-US"/>
        </w:rPr>
        <w:tab/>
        <w:t xml:space="preserve">Moradpour J, Hollis A. Patient income and health innovation. Health Econ. 2020;29(12):1795–803. </w:t>
      </w:r>
    </w:p>
    <w:p w14:paraId="13F8A595"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lang w:val="en-US"/>
        </w:rPr>
      </w:pPr>
      <w:r w:rsidRPr="00F36FF0">
        <w:rPr>
          <w:rFonts w:ascii="Roboto Light" w:hAnsi="Roboto Light" w:cs="Arial"/>
          <w:noProof/>
          <w:sz w:val="19"/>
          <w:szCs w:val="19"/>
          <w:lang w:val="en-US"/>
        </w:rPr>
        <w:t xml:space="preserve">31. </w:t>
      </w:r>
      <w:r w:rsidRPr="00F36FF0">
        <w:rPr>
          <w:rFonts w:ascii="Roboto Light" w:hAnsi="Roboto Light" w:cs="Arial"/>
          <w:noProof/>
          <w:sz w:val="19"/>
          <w:szCs w:val="19"/>
          <w:lang w:val="en-US"/>
        </w:rPr>
        <w:tab/>
        <w:t xml:space="preserve">Korber B, Muldoon M, Theiler J, Gao F, Gupta R, Lapedes A, et al. Timing the ancestor of the HIV-1 pandemic strains. Science (80- ). 2000;288(5472):1789–96. </w:t>
      </w:r>
    </w:p>
    <w:p w14:paraId="44F51215" w14:textId="77777777" w:rsidR="00946275" w:rsidRPr="00F36FF0" w:rsidRDefault="00946275" w:rsidP="00946275">
      <w:pPr>
        <w:widowControl w:val="0"/>
        <w:autoSpaceDE w:val="0"/>
        <w:autoSpaceDN w:val="0"/>
        <w:adjustRightInd w:val="0"/>
        <w:spacing w:line="240" w:lineRule="auto"/>
        <w:ind w:left="640" w:hanging="640"/>
        <w:rPr>
          <w:rFonts w:ascii="Roboto Light" w:hAnsi="Roboto Light" w:cs="Arial"/>
          <w:noProof/>
          <w:sz w:val="19"/>
          <w:szCs w:val="19"/>
        </w:rPr>
      </w:pPr>
      <w:r w:rsidRPr="00F36FF0">
        <w:rPr>
          <w:rFonts w:ascii="Roboto Light" w:hAnsi="Roboto Light" w:cs="Arial"/>
          <w:noProof/>
          <w:sz w:val="19"/>
          <w:szCs w:val="19"/>
          <w:lang w:val="en-US"/>
        </w:rPr>
        <w:t xml:space="preserve">32. </w:t>
      </w:r>
      <w:r w:rsidRPr="00F36FF0">
        <w:rPr>
          <w:rFonts w:ascii="Roboto Light" w:hAnsi="Roboto Light" w:cs="Arial"/>
          <w:noProof/>
          <w:sz w:val="19"/>
          <w:szCs w:val="19"/>
          <w:lang w:val="en-US"/>
        </w:rPr>
        <w:tab/>
        <w:t xml:space="preserve">Gilbert MTP, Rambaut A, Wlasiuk G, Spira TJ, Pitchenik AE, Worobey M. The emergence of HIV/AIDS in the Americas and beyond. Proc Natl Acad Sci U S A. 2007 Nov;104(47):18566–70. </w:t>
      </w:r>
    </w:p>
    <w:p w14:paraId="20B280A4" w14:textId="4C9C8577" w:rsidR="00D842E7" w:rsidRDefault="00FF2D59" w:rsidP="00F36FF0">
      <w:pPr>
        <w:widowControl w:val="0"/>
        <w:autoSpaceDE w:val="0"/>
        <w:autoSpaceDN w:val="0"/>
        <w:adjustRightInd w:val="0"/>
        <w:spacing w:line="240" w:lineRule="auto"/>
        <w:rPr>
          <w:rFonts w:ascii="Roboto Light" w:hAnsi="Roboto Light" w:cs="Arial"/>
          <w:color w:val="202426"/>
          <w:sz w:val="19"/>
          <w:szCs w:val="19"/>
        </w:rPr>
      </w:pPr>
      <w:r w:rsidRPr="00F36FF0">
        <w:rPr>
          <w:rFonts w:ascii="Roboto Light" w:hAnsi="Roboto Light" w:cs="Arial"/>
          <w:color w:val="202426"/>
          <w:sz w:val="19"/>
          <w:szCs w:val="19"/>
        </w:rPr>
        <w:fldChar w:fldCharType="end"/>
      </w:r>
    </w:p>
    <w:p w14:paraId="2BB8FB93" w14:textId="72980BF8" w:rsidR="00F36FF0" w:rsidRDefault="00F36FF0" w:rsidP="00F36FF0">
      <w:pPr>
        <w:widowControl w:val="0"/>
        <w:autoSpaceDE w:val="0"/>
        <w:autoSpaceDN w:val="0"/>
        <w:adjustRightInd w:val="0"/>
        <w:spacing w:line="240" w:lineRule="auto"/>
        <w:rPr>
          <w:rFonts w:ascii="Roboto Light" w:hAnsi="Roboto Light" w:cs="Arial"/>
          <w:color w:val="202426"/>
          <w:sz w:val="19"/>
          <w:szCs w:val="19"/>
        </w:rPr>
      </w:pPr>
    </w:p>
    <w:p w14:paraId="4E101391" w14:textId="5459C8D7" w:rsidR="00F36FF0" w:rsidRPr="00F36FF0" w:rsidRDefault="003D73A9" w:rsidP="00F36FF0">
      <w:pPr>
        <w:widowControl w:val="0"/>
        <w:autoSpaceDE w:val="0"/>
        <w:autoSpaceDN w:val="0"/>
        <w:adjustRightInd w:val="0"/>
        <w:spacing w:line="240" w:lineRule="auto"/>
        <w:rPr>
          <w:rFonts w:ascii="Arial" w:hAnsi="Arial" w:cs="Arial"/>
          <w:color w:val="202426"/>
          <w:sz w:val="19"/>
          <w:szCs w:val="19"/>
        </w:rPr>
      </w:pPr>
      <w:r w:rsidRPr="00F976E8">
        <w:rPr>
          <w:rFonts w:ascii="PoynterOSDisp Roman" w:hAnsi="PoynterOSDisp Roman"/>
          <w:noProof/>
          <w:color w:val="202426"/>
          <w:sz w:val="40"/>
          <w:szCs w:val="40"/>
        </w:rPr>
        <mc:AlternateContent>
          <mc:Choice Requires="wps">
            <w:drawing>
              <wp:anchor distT="45720" distB="45720" distL="114300" distR="114300" simplePos="0" relativeHeight="251664384" behindDoc="0" locked="0" layoutInCell="1" allowOverlap="1" wp14:anchorId="06A1314D" wp14:editId="41F6497D">
                <wp:simplePos x="0" y="0"/>
                <wp:positionH relativeFrom="page">
                  <wp:posOffset>552091</wp:posOffset>
                </wp:positionH>
                <wp:positionV relativeFrom="paragraph">
                  <wp:posOffset>112287</wp:posOffset>
                </wp:positionV>
                <wp:extent cx="4442603" cy="8230652"/>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603" cy="8230652"/>
                        </a:xfrm>
                        <a:prstGeom prst="rect">
                          <a:avLst/>
                        </a:prstGeom>
                        <a:noFill/>
                        <a:ln w="9525">
                          <a:noFill/>
                          <a:miter lim="800000"/>
                          <a:headEnd/>
                          <a:tailEnd/>
                        </a:ln>
                      </wps:spPr>
                      <wps:txbx>
                        <w:txbxContent>
                          <w:p w14:paraId="6EF5011F" w14:textId="6798561A" w:rsidR="00F36FF0" w:rsidRPr="003D73A9" w:rsidRDefault="00F36FF0" w:rsidP="003D73A9">
                            <w:pPr>
                              <w:spacing w:after="360" w:line="520" w:lineRule="exact"/>
                              <w:rPr>
                                <w:rFonts w:ascii="PoynterOSDisp Roman" w:hAnsi="PoynterOSDisp Roman"/>
                                <w:color w:val="FFFFFF" w:themeColor="background1"/>
                                <w:sz w:val="56"/>
                                <w:szCs w:val="56"/>
                              </w:rPr>
                            </w:pPr>
                            <w:r w:rsidRPr="003D73A9">
                              <w:rPr>
                                <w:rFonts w:ascii="PoynterOSDisp Roman" w:hAnsi="PoynterOSDisp Roman"/>
                                <w:color w:val="FFFFFF" w:themeColor="background1"/>
                                <w:sz w:val="56"/>
                                <w:szCs w:val="56"/>
                              </w:rPr>
                              <w:t xml:space="preserve">OHE Innovation </w:t>
                            </w:r>
                            <w:r w:rsidR="003D73A9">
                              <w:rPr>
                                <w:rFonts w:ascii="PoynterOSDisp Roman" w:hAnsi="PoynterOSDisp Roman"/>
                                <w:color w:val="FFFFFF" w:themeColor="background1"/>
                                <w:sz w:val="56"/>
                                <w:szCs w:val="56"/>
                              </w:rPr>
                              <w:br/>
                            </w:r>
                            <w:r w:rsidRPr="003D73A9">
                              <w:rPr>
                                <w:rFonts w:ascii="PoynterOSDisp Roman" w:hAnsi="PoynterOSDisp Roman"/>
                                <w:color w:val="FFFFFF" w:themeColor="background1"/>
                                <w:sz w:val="56"/>
                                <w:szCs w:val="56"/>
                              </w:rPr>
                              <w:t>Policy Prize</w:t>
                            </w:r>
                          </w:p>
                          <w:p w14:paraId="1921791C" w14:textId="25247CA5" w:rsidR="003D73A9" w:rsidRP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w:t>
                            </w:r>
                            <w:r w:rsidR="00382EEF">
                              <w:rPr>
                                <w:rFonts w:ascii="Roboto" w:eastAsia="Times New Roman" w:hAnsi="Roboto"/>
                                <w:color w:val="FFFFFF" w:themeColor="background1"/>
                                <w:sz w:val="21"/>
                                <w:szCs w:val="21"/>
                                <w:lang w:eastAsia="en-GB"/>
                              </w:rPr>
                              <w:t xml:space="preserve">Innovation Policy Prize </w:t>
                            </w:r>
                            <w:r w:rsidRPr="003D73A9">
                              <w:rPr>
                                <w:rFonts w:ascii="Roboto" w:eastAsia="Times New Roman" w:hAnsi="Roboto"/>
                                <w:color w:val="FFFFFF" w:themeColor="background1"/>
                                <w:sz w:val="21"/>
                                <w:szCs w:val="21"/>
                                <w:lang w:eastAsia="en-GB"/>
                              </w:rPr>
                              <w:t>support</w:t>
                            </w:r>
                            <w:r>
                              <w:rPr>
                                <w:rFonts w:ascii="Roboto" w:eastAsia="Times New Roman" w:hAnsi="Roboto"/>
                                <w:color w:val="FFFFFF" w:themeColor="background1"/>
                                <w:sz w:val="21"/>
                                <w:szCs w:val="21"/>
                                <w:lang w:eastAsia="en-GB"/>
                              </w:rPr>
                              <w:t>s</w:t>
                            </w:r>
                            <w:r w:rsidRPr="003D73A9">
                              <w:rPr>
                                <w:rFonts w:ascii="Roboto" w:eastAsia="Times New Roman" w:hAnsi="Roboto"/>
                                <w:color w:val="FFFFFF" w:themeColor="background1"/>
                                <w:sz w:val="21"/>
                                <w:szCs w:val="21"/>
                                <w:lang w:eastAsia="en-GB"/>
                              </w:rPr>
                              <w:t xml:space="preserve"> </w:t>
                            </w:r>
                            <w:r w:rsidR="00382EEF">
                              <w:rPr>
                                <w:rFonts w:ascii="Roboto" w:eastAsia="Times New Roman" w:hAnsi="Roboto"/>
                                <w:color w:val="FFFFFF" w:themeColor="background1"/>
                                <w:sz w:val="21"/>
                                <w:szCs w:val="21"/>
                                <w:lang w:eastAsia="en-GB"/>
                              </w:rPr>
                              <w:t>our</w:t>
                            </w:r>
                            <w:r w:rsidRPr="003D73A9">
                              <w:rPr>
                                <w:rFonts w:ascii="Roboto" w:eastAsia="Times New Roman" w:hAnsi="Roboto"/>
                                <w:color w:val="FFFFFF" w:themeColor="background1"/>
                                <w:sz w:val="21"/>
                                <w:szCs w:val="21"/>
                                <w:lang w:eastAsia="en-GB"/>
                              </w:rPr>
                              <w:t xml:space="preserve"> charitable goal of improving the quantity and quality of debate on health economics, and has been designed to be a non-exclusive platform which:</w:t>
                            </w:r>
                          </w:p>
                          <w:p w14:paraId="342FD5C7"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generates novel ideas and solutions</w:t>
                            </w:r>
                          </w:p>
                          <w:p w14:paraId="2A290C62"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facilitates sharing of perspectives across disciplines countries</w:t>
                            </w:r>
                          </w:p>
                          <w:p w14:paraId="03CCE452" w14:textId="31A8F010" w:rsid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encourages more research into the economics of the life sciences sector</w:t>
                            </w:r>
                          </w:p>
                          <w:p w14:paraId="390E5CC5" w14:textId="77777777" w:rsidR="003D73A9" w:rsidRPr="003D73A9" w:rsidRDefault="003D73A9" w:rsidP="003D73A9">
                            <w:pPr>
                              <w:spacing w:after="0"/>
                              <w:rPr>
                                <w:rFonts w:ascii="Roboto" w:eastAsia="Times New Roman" w:hAnsi="Roboto"/>
                                <w:color w:val="FFFFFF" w:themeColor="background1"/>
                                <w:sz w:val="21"/>
                                <w:szCs w:val="21"/>
                                <w:lang w:eastAsia="en-GB"/>
                              </w:rPr>
                            </w:pPr>
                          </w:p>
                          <w:p w14:paraId="4DE1458C" w14:textId="56DBF9B8" w:rsid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Innovation Policy Prize </w:t>
                            </w:r>
                            <w:r>
                              <w:rPr>
                                <w:rFonts w:ascii="Roboto" w:eastAsia="Times New Roman" w:hAnsi="Roboto"/>
                                <w:color w:val="FFFFFF" w:themeColor="background1"/>
                                <w:sz w:val="21"/>
                                <w:szCs w:val="21"/>
                                <w:lang w:eastAsia="en-GB"/>
                              </w:rPr>
                              <w:t xml:space="preserve">awards </w:t>
                            </w:r>
                            <w:r w:rsidRPr="003D73A9">
                              <w:rPr>
                                <w:rFonts w:ascii="Roboto" w:eastAsia="Times New Roman" w:hAnsi="Roboto"/>
                                <w:color w:val="FFFFFF" w:themeColor="background1"/>
                                <w:sz w:val="21"/>
                                <w:szCs w:val="21"/>
                                <w:lang w:eastAsia="en-GB"/>
                              </w:rPr>
                              <w:t xml:space="preserve">£40,000 for </w:t>
                            </w:r>
                            <w:r>
                              <w:rPr>
                                <w:rFonts w:ascii="Roboto" w:eastAsia="Times New Roman" w:hAnsi="Roboto"/>
                                <w:color w:val="FFFFFF" w:themeColor="background1"/>
                                <w:sz w:val="21"/>
                                <w:szCs w:val="21"/>
                                <w:lang w:eastAsia="en-GB"/>
                              </w:rPr>
                              <w:t>the entry that best fulfils our judging criteria; originality, empirical/theoretical foundations, global feasibility/implementation, potential impact, and clarity.</w:t>
                            </w:r>
                            <w:r w:rsidRPr="003D73A9">
                              <w:rPr>
                                <w:rFonts w:ascii="Roboto" w:eastAsia="Times New Roman" w:hAnsi="Roboto"/>
                                <w:color w:val="FFFFFF" w:themeColor="background1"/>
                                <w:sz w:val="21"/>
                                <w:szCs w:val="21"/>
                                <w:lang w:eastAsia="en-GB"/>
                              </w:rPr>
                              <w:t xml:space="preserve"> All short-listed entries also </w:t>
                            </w:r>
                            <w:proofErr w:type="gramStart"/>
                            <w:r>
                              <w:rPr>
                                <w:rFonts w:ascii="Roboto" w:eastAsia="Times New Roman" w:hAnsi="Roboto"/>
                                <w:color w:val="FFFFFF" w:themeColor="background1"/>
                                <w:sz w:val="21"/>
                                <w:szCs w:val="21"/>
                                <w:lang w:eastAsia="en-GB"/>
                              </w:rPr>
                              <w:t>have the</w:t>
                            </w:r>
                            <w:r w:rsidRPr="003D73A9">
                              <w:rPr>
                                <w:rFonts w:ascii="Roboto" w:eastAsia="Times New Roman" w:hAnsi="Roboto"/>
                                <w:color w:val="FFFFFF" w:themeColor="background1"/>
                                <w:sz w:val="21"/>
                                <w:szCs w:val="21"/>
                                <w:lang w:eastAsia="en-GB"/>
                              </w:rPr>
                              <w:t xml:space="preserve"> opportunity to</w:t>
                            </w:r>
                            <w:proofErr w:type="gramEnd"/>
                            <w:r w:rsidRPr="003D73A9">
                              <w:rPr>
                                <w:rFonts w:ascii="Roboto" w:eastAsia="Times New Roman" w:hAnsi="Roboto"/>
                                <w:color w:val="FFFFFF" w:themeColor="background1"/>
                                <w:sz w:val="21"/>
                                <w:szCs w:val="21"/>
                                <w:lang w:eastAsia="en-GB"/>
                              </w:rPr>
                              <w:t xml:space="preserve"> submit a paper to a special issue or section of PharmacoEconomics based on their entry.</w:t>
                            </w:r>
                          </w:p>
                          <w:p w14:paraId="3A79C69C" w14:textId="6CC51687" w:rsidR="003D73A9" w:rsidRDefault="003D73A9" w:rsidP="003D73A9">
                            <w:pPr>
                              <w:spacing w:after="0"/>
                              <w:rPr>
                                <w:rFonts w:ascii="Roboto" w:eastAsia="Times New Roman" w:hAnsi="Roboto"/>
                                <w:color w:val="FFFFFF" w:themeColor="background1"/>
                                <w:sz w:val="21"/>
                                <w:szCs w:val="21"/>
                                <w:lang w:eastAsia="en-GB"/>
                              </w:rPr>
                            </w:pPr>
                          </w:p>
                          <w:p w14:paraId="5FFE1A4C" w14:textId="59F14628" w:rsidR="003D73A9" w:rsidRPr="00382EEF" w:rsidRDefault="003D73A9" w:rsidP="003D73A9">
                            <w:pPr>
                              <w:spacing w:after="0"/>
                              <w:rPr>
                                <w:rFonts w:ascii="Roboto Medium" w:eastAsia="Times New Roman" w:hAnsi="Roboto Medium"/>
                                <w:color w:val="EB2E3D"/>
                                <w:sz w:val="21"/>
                                <w:szCs w:val="21"/>
                                <w:lang w:eastAsia="en-GB"/>
                              </w:rPr>
                            </w:pPr>
                            <w:r w:rsidRPr="00382EEF">
                              <w:rPr>
                                <w:rFonts w:ascii="Roboto Medium" w:eastAsia="Times New Roman" w:hAnsi="Roboto Medium"/>
                                <w:color w:val="EB2E3D"/>
                                <w:sz w:val="21"/>
                                <w:szCs w:val="21"/>
                                <w:lang w:eastAsia="en-GB"/>
                              </w:rPr>
                              <w:t>The next OHE Innovation Policy Prize will launch in 2024.</w:t>
                            </w:r>
                          </w:p>
                          <w:p w14:paraId="3DD68414" w14:textId="77777777" w:rsidR="003D73A9" w:rsidRDefault="003D73A9" w:rsidP="003D73A9">
                            <w:pPr>
                              <w:spacing w:after="0"/>
                              <w:rPr>
                                <w:rFonts w:ascii="Roboto" w:eastAsia="Times New Roman" w:hAnsi="Roboto"/>
                                <w:color w:val="FFFFFF" w:themeColor="background1"/>
                                <w:sz w:val="21"/>
                                <w:szCs w:val="21"/>
                                <w:lang w:eastAsia="en-GB"/>
                              </w:rPr>
                            </w:pPr>
                          </w:p>
                          <w:p w14:paraId="7AB82FC0" w14:textId="77777777" w:rsidR="003D73A9" w:rsidRPr="003D73A9" w:rsidRDefault="003D73A9" w:rsidP="003D73A9">
                            <w:pPr>
                              <w:spacing w:after="336"/>
                              <w:rPr>
                                <w:rFonts w:ascii="Roboto" w:eastAsia="Times New Roman" w:hAnsi="Roboto"/>
                                <w:i/>
                                <w:iCs/>
                                <w:color w:val="FFFFFF" w:themeColor="background1"/>
                                <w:sz w:val="19"/>
                                <w:szCs w:val="19"/>
                                <w:lang w:eastAsia="en-GB"/>
                              </w:rPr>
                            </w:pPr>
                            <w:r w:rsidRPr="003D73A9">
                              <w:rPr>
                                <w:rFonts w:ascii="Roboto" w:eastAsia="Times New Roman" w:hAnsi="Roboto"/>
                                <w:i/>
                                <w:iCs/>
                                <w:color w:val="FFFFFF" w:themeColor="background1"/>
                                <w:sz w:val="19"/>
                                <w:szCs w:val="19"/>
                                <w:lang w:eastAsia="en-GB"/>
                              </w:rPr>
                              <w:t>Having been at the forefront of economics and policy of health and life sciences innovation for the past 60 years, OHE has a rich history of supporting and promoting original thinking which solves the problems of the day and the future.</w:t>
                            </w:r>
                          </w:p>
                          <w:p w14:paraId="1530584D" w14:textId="77777777" w:rsidR="003D73A9" w:rsidRPr="003D73A9" w:rsidRDefault="003D73A9" w:rsidP="003D73A9">
                            <w:pPr>
                              <w:spacing w:after="0" w:line="384" w:lineRule="atLeast"/>
                              <w:rPr>
                                <w:rFonts w:ascii="Roboto" w:eastAsia="Times New Roman" w:hAnsi="Roboto"/>
                                <w:color w:val="FFFFFF" w:themeColor="background1"/>
                                <w:sz w:val="21"/>
                                <w:szCs w:val="21"/>
                                <w:lang w:eastAsia="en-GB"/>
                              </w:rPr>
                            </w:pPr>
                          </w:p>
                          <w:p w14:paraId="34488969" w14:textId="77777777" w:rsidR="003D73A9" w:rsidRPr="00F976E8" w:rsidRDefault="003D73A9" w:rsidP="00F36FF0">
                            <w:pPr>
                              <w:spacing w:after="0" w:line="1000" w:lineRule="exact"/>
                              <w:rPr>
                                <w:rFonts w:ascii="PoynterOSDisp Roman" w:hAnsi="PoynterOSDisp Roman"/>
                                <w:color w:val="FFFFFF" w:themeColor="background1"/>
                                <w:sz w:val="104"/>
                                <w:szCs w:val="10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1314D" id="_x0000_s1027" type="#_x0000_t202" style="position:absolute;margin-left:43.45pt;margin-top:8.85pt;width:349.8pt;height:648.1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" filled="f" stroked="f">
                <v:textbox>
                  <w:txbxContent>
                    <w:p w14:paraId="6EF5011F" w14:textId="6798561A" w:rsidR="00F36FF0" w:rsidRPr="003D73A9" w:rsidRDefault="00F36FF0" w:rsidP="003D73A9">
                      <w:pPr>
                        <w:spacing w:after="360" w:line="520" w:lineRule="exact"/>
                        <w:rPr>
                          <w:rFonts w:ascii="PoynterOSDisp Roman" w:hAnsi="PoynterOSDisp Roman"/>
                          <w:color w:val="FFFFFF" w:themeColor="background1"/>
                          <w:sz w:val="56"/>
                          <w:szCs w:val="56"/>
                        </w:rPr>
                      </w:pPr>
                      <w:r w:rsidRPr="003D73A9">
                        <w:rPr>
                          <w:rFonts w:ascii="PoynterOSDisp Roman" w:hAnsi="PoynterOSDisp Roman"/>
                          <w:color w:val="FFFFFF" w:themeColor="background1"/>
                          <w:sz w:val="56"/>
                          <w:szCs w:val="56"/>
                        </w:rPr>
                        <w:t xml:space="preserve">OHE Innovation </w:t>
                      </w:r>
                      <w:r w:rsidR="003D73A9">
                        <w:rPr>
                          <w:rFonts w:ascii="PoynterOSDisp Roman" w:hAnsi="PoynterOSDisp Roman"/>
                          <w:color w:val="FFFFFF" w:themeColor="background1"/>
                          <w:sz w:val="56"/>
                          <w:szCs w:val="56"/>
                        </w:rPr>
                        <w:br/>
                      </w:r>
                      <w:r w:rsidRPr="003D73A9">
                        <w:rPr>
                          <w:rFonts w:ascii="PoynterOSDisp Roman" w:hAnsi="PoynterOSDisp Roman"/>
                          <w:color w:val="FFFFFF" w:themeColor="background1"/>
                          <w:sz w:val="56"/>
                          <w:szCs w:val="56"/>
                        </w:rPr>
                        <w:t>Policy Prize</w:t>
                      </w:r>
                    </w:p>
                    <w:p w14:paraId="1921791C" w14:textId="25247CA5" w:rsidR="003D73A9" w:rsidRP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w:t>
                      </w:r>
                      <w:r w:rsidR="00382EEF">
                        <w:rPr>
                          <w:rFonts w:ascii="Roboto" w:eastAsia="Times New Roman" w:hAnsi="Roboto"/>
                          <w:color w:val="FFFFFF" w:themeColor="background1"/>
                          <w:sz w:val="21"/>
                          <w:szCs w:val="21"/>
                          <w:lang w:eastAsia="en-GB"/>
                        </w:rPr>
                        <w:t xml:space="preserve">Innovation Policy Prize </w:t>
                      </w:r>
                      <w:r w:rsidRPr="003D73A9">
                        <w:rPr>
                          <w:rFonts w:ascii="Roboto" w:eastAsia="Times New Roman" w:hAnsi="Roboto"/>
                          <w:color w:val="FFFFFF" w:themeColor="background1"/>
                          <w:sz w:val="21"/>
                          <w:szCs w:val="21"/>
                          <w:lang w:eastAsia="en-GB"/>
                        </w:rPr>
                        <w:t>support</w:t>
                      </w:r>
                      <w:r>
                        <w:rPr>
                          <w:rFonts w:ascii="Roboto" w:eastAsia="Times New Roman" w:hAnsi="Roboto"/>
                          <w:color w:val="FFFFFF" w:themeColor="background1"/>
                          <w:sz w:val="21"/>
                          <w:szCs w:val="21"/>
                          <w:lang w:eastAsia="en-GB"/>
                        </w:rPr>
                        <w:t>s</w:t>
                      </w:r>
                      <w:r w:rsidRPr="003D73A9">
                        <w:rPr>
                          <w:rFonts w:ascii="Roboto" w:eastAsia="Times New Roman" w:hAnsi="Roboto"/>
                          <w:color w:val="FFFFFF" w:themeColor="background1"/>
                          <w:sz w:val="21"/>
                          <w:szCs w:val="21"/>
                          <w:lang w:eastAsia="en-GB"/>
                        </w:rPr>
                        <w:t xml:space="preserve"> </w:t>
                      </w:r>
                      <w:r w:rsidR="00382EEF">
                        <w:rPr>
                          <w:rFonts w:ascii="Roboto" w:eastAsia="Times New Roman" w:hAnsi="Roboto"/>
                          <w:color w:val="FFFFFF" w:themeColor="background1"/>
                          <w:sz w:val="21"/>
                          <w:szCs w:val="21"/>
                          <w:lang w:eastAsia="en-GB"/>
                        </w:rPr>
                        <w:t>our</w:t>
                      </w:r>
                      <w:r w:rsidRPr="003D73A9">
                        <w:rPr>
                          <w:rFonts w:ascii="Roboto" w:eastAsia="Times New Roman" w:hAnsi="Roboto"/>
                          <w:color w:val="FFFFFF" w:themeColor="background1"/>
                          <w:sz w:val="21"/>
                          <w:szCs w:val="21"/>
                          <w:lang w:eastAsia="en-GB"/>
                        </w:rPr>
                        <w:t xml:space="preserve"> charitable goal of improving the quantity and quality of debate on health economics, and has been designed to be a non-exclusive platform which:</w:t>
                      </w:r>
                    </w:p>
                    <w:p w14:paraId="342FD5C7"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generates novel ideas and solutions</w:t>
                      </w:r>
                    </w:p>
                    <w:p w14:paraId="2A290C62" w14:textId="77777777" w:rsidR="003D73A9" w:rsidRP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facilitates sharing of perspectives across disciplines countries</w:t>
                      </w:r>
                    </w:p>
                    <w:p w14:paraId="03CCE452" w14:textId="31A8F010" w:rsidR="003D73A9" w:rsidRDefault="003D73A9" w:rsidP="003D73A9">
                      <w:pPr>
                        <w:numPr>
                          <w:ilvl w:val="0"/>
                          <w:numId w:val="7"/>
                        </w:num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encourages more research into the economics of the life sciences sector</w:t>
                      </w:r>
                    </w:p>
                    <w:p w14:paraId="390E5CC5" w14:textId="77777777" w:rsidR="003D73A9" w:rsidRPr="003D73A9" w:rsidRDefault="003D73A9" w:rsidP="003D73A9">
                      <w:pPr>
                        <w:spacing w:after="0"/>
                        <w:rPr>
                          <w:rFonts w:ascii="Roboto" w:eastAsia="Times New Roman" w:hAnsi="Roboto"/>
                          <w:color w:val="FFFFFF" w:themeColor="background1"/>
                          <w:sz w:val="21"/>
                          <w:szCs w:val="21"/>
                          <w:lang w:eastAsia="en-GB"/>
                        </w:rPr>
                      </w:pPr>
                    </w:p>
                    <w:p w14:paraId="4DE1458C" w14:textId="56DBF9B8" w:rsidR="003D73A9" w:rsidRDefault="003D73A9" w:rsidP="003D73A9">
                      <w:pPr>
                        <w:spacing w:after="0"/>
                        <w:rPr>
                          <w:rFonts w:ascii="Roboto" w:eastAsia="Times New Roman" w:hAnsi="Roboto"/>
                          <w:color w:val="FFFFFF" w:themeColor="background1"/>
                          <w:sz w:val="21"/>
                          <w:szCs w:val="21"/>
                          <w:lang w:eastAsia="en-GB"/>
                        </w:rPr>
                      </w:pPr>
                      <w:r w:rsidRPr="003D73A9">
                        <w:rPr>
                          <w:rFonts w:ascii="Roboto" w:eastAsia="Times New Roman" w:hAnsi="Roboto"/>
                          <w:color w:val="FFFFFF" w:themeColor="background1"/>
                          <w:sz w:val="21"/>
                          <w:szCs w:val="21"/>
                          <w:lang w:eastAsia="en-GB"/>
                        </w:rPr>
                        <w:t xml:space="preserve">The OHE Innovation Policy Prize </w:t>
                      </w:r>
                      <w:r>
                        <w:rPr>
                          <w:rFonts w:ascii="Roboto" w:eastAsia="Times New Roman" w:hAnsi="Roboto"/>
                          <w:color w:val="FFFFFF" w:themeColor="background1"/>
                          <w:sz w:val="21"/>
                          <w:szCs w:val="21"/>
                          <w:lang w:eastAsia="en-GB"/>
                        </w:rPr>
                        <w:t xml:space="preserve">awards </w:t>
                      </w:r>
                      <w:r w:rsidRPr="003D73A9">
                        <w:rPr>
                          <w:rFonts w:ascii="Roboto" w:eastAsia="Times New Roman" w:hAnsi="Roboto"/>
                          <w:color w:val="FFFFFF" w:themeColor="background1"/>
                          <w:sz w:val="21"/>
                          <w:szCs w:val="21"/>
                          <w:lang w:eastAsia="en-GB"/>
                        </w:rPr>
                        <w:t xml:space="preserve">£40,000 for </w:t>
                      </w:r>
                      <w:r>
                        <w:rPr>
                          <w:rFonts w:ascii="Roboto" w:eastAsia="Times New Roman" w:hAnsi="Roboto"/>
                          <w:color w:val="FFFFFF" w:themeColor="background1"/>
                          <w:sz w:val="21"/>
                          <w:szCs w:val="21"/>
                          <w:lang w:eastAsia="en-GB"/>
                        </w:rPr>
                        <w:t>the entry that best fulfils our judging criteria; originality, empirical/theoretical foundations, global feasibility/implementation, potential impact, and clarity.</w:t>
                      </w:r>
                      <w:r w:rsidRPr="003D73A9">
                        <w:rPr>
                          <w:rFonts w:ascii="Roboto" w:eastAsia="Times New Roman" w:hAnsi="Roboto"/>
                          <w:color w:val="FFFFFF" w:themeColor="background1"/>
                          <w:sz w:val="21"/>
                          <w:szCs w:val="21"/>
                          <w:lang w:eastAsia="en-GB"/>
                        </w:rPr>
                        <w:t xml:space="preserve"> All </w:t>
                      </w:r>
                      <w:r w:rsidRPr="003D73A9">
                        <w:rPr>
                          <w:rFonts w:ascii="Roboto" w:eastAsia="Times New Roman" w:hAnsi="Roboto"/>
                          <w:color w:val="FFFFFF" w:themeColor="background1"/>
                          <w:sz w:val="21"/>
                          <w:szCs w:val="21"/>
                          <w:lang w:eastAsia="en-GB"/>
                        </w:rPr>
                        <w:t>short-listed</w:t>
                      </w:r>
                      <w:r w:rsidRPr="003D73A9">
                        <w:rPr>
                          <w:rFonts w:ascii="Roboto" w:eastAsia="Times New Roman" w:hAnsi="Roboto"/>
                          <w:color w:val="FFFFFF" w:themeColor="background1"/>
                          <w:sz w:val="21"/>
                          <w:szCs w:val="21"/>
                          <w:lang w:eastAsia="en-GB"/>
                        </w:rPr>
                        <w:t xml:space="preserve"> entries also </w:t>
                      </w:r>
                      <w:proofErr w:type="gramStart"/>
                      <w:r>
                        <w:rPr>
                          <w:rFonts w:ascii="Roboto" w:eastAsia="Times New Roman" w:hAnsi="Roboto"/>
                          <w:color w:val="FFFFFF" w:themeColor="background1"/>
                          <w:sz w:val="21"/>
                          <w:szCs w:val="21"/>
                          <w:lang w:eastAsia="en-GB"/>
                        </w:rPr>
                        <w:t>have the</w:t>
                      </w:r>
                      <w:r w:rsidRPr="003D73A9">
                        <w:rPr>
                          <w:rFonts w:ascii="Roboto" w:eastAsia="Times New Roman" w:hAnsi="Roboto"/>
                          <w:color w:val="FFFFFF" w:themeColor="background1"/>
                          <w:sz w:val="21"/>
                          <w:szCs w:val="21"/>
                          <w:lang w:eastAsia="en-GB"/>
                        </w:rPr>
                        <w:t xml:space="preserve"> opportunity to</w:t>
                      </w:r>
                      <w:proofErr w:type="gramEnd"/>
                      <w:r w:rsidRPr="003D73A9">
                        <w:rPr>
                          <w:rFonts w:ascii="Roboto" w:eastAsia="Times New Roman" w:hAnsi="Roboto"/>
                          <w:color w:val="FFFFFF" w:themeColor="background1"/>
                          <w:sz w:val="21"/>
                          <w:szCs w:val="21"/>
                          <w:lang w:eastAsia="en-GB"/>
                        </w:rPr>
                        <w:t xml:space="preserve"> submit a paper to a special issue or section of PharmacoEconomics based on their entry.</w:t>
                      </w:r>
                    </w:p>
                    <w:p w14:paraId="3A79C69C" w14:textId="6CC51687" w:rsidR="003D73A9" w:rsidRDefault="003D73A9" w:rsidP="003D73A9">
                      <w:pPr>
                        <w:spacing w:after="0"/>
                        <w:rPr>
                          <w:rFonts w:ascii="Roboto" w:eastAsia="Times New Roman" w:hAnsi="Roboto"/>
                          <w:color w:val="FFFFFF" w:themeColor="background1"/>
                          <w:sz w:val="21"/>
                          <w:szCs w:val="21"/>
                          <w:lang w:eastAsia="en-GB"/>
                        </w:rPr>
                      </w:pPr>
                    </w:p>
                    <w:p w14:paraId="5FFE1A4C" w14:textId="59F14628" w:rsidR="003D73A9" w:rsidRPr="00382EEF" w:rsidRDefault="003D73A9" w:rsidP="003D73A9">
                      <w:pPr>
                        <w:spacing w:after="0"/>
                        <w:rPr>
                          <w:rFonts w:ascii="Roboto Medium" w:eastAsia="Times New Roman" w:hAnsi="Roboto Medium"/>
                          <w:color w:val="EB2E3D"/>
                          <w:sz w:val="21"/>
                          <w:szCs w:val="21"/>
                          <w:lang w:eastAsia="en-GB"/>
                        </w:rPr>
                      </w:pPr>
                      <w:r w:rsidRPr="00382EEF">
                        <w:rPr>
                          <w:rFonts w:ascii="Roboto Medium" w:eastAsia="Times New Roman" w:hAnsi="Roboto Medium"/>
                          <w:color w:val="EB2E3D"/>
                          <w:sz w:val="21"/>
                          <w:szCs w:val="21"/>
                          <w:lang w:eastAsia="en-GB"/>
                        </w:rPr>
                        <w:t>The next OHE Innovation Policy Prize will launch in 2024.</w:t>
                      </w:r>
                    </w:p>
                    <w:p w14:paraId="3DD68414" w14:textId="77777777" w:rsidR="003D73A9" w:rsidRDefault="003D73A9" w:rsidP="003D73A9">
                      <w:pPr>
                        <w:spacing w:after="0"/>
                        <w:rPr>
                          <w:rFonts w:ascii="Roboto" w:eastAsia="Times New Roman" w:hAnsi="Roboto"/>
                          <w:color w:val="FFFFFF" w:themeColor="background1"/>
                          <w:sz w:val="21"/>
                          <w:szCs w:val="21"/>
                          <w:lang w:eastAsia="en-GB"/>
                        </w:rPr>
                      </w:pPr>
                    </w:p>
                    <w:p w14:paraId="7AB82FC0" w14:textId="77777777" w:rsidR="003D73A9" w:rsidRPr="003D73A9" w:rsidRDefault="003D73A9" w:rsidP="003D73A9">
                      <w:pPr>
                        <w:spacing w:after="336"/>
                        <w:rPr>
                          <w:rFonts w:ascii="Roboto" w:eastAsia="Times New Roman" w:hAnsi="Roboto"/>
                          <w:i/>
                          <w:iCs/>
                          <w:color w:val="FFFFFF" w:themeColor="background1"/>
                          <w:sz w:val="19"/>
                          <w:szCs w:val="19"/>
                          <w:lang w:eastAsia="en-GB"/>
                        </w:rPr>
                      </w:pPr>
                      <w:r w:rsidRPr="003D73A9">
                        <w:rPr>
                          <w:rFonts w:ascii="Roboto" w:eastAsia="Times New Roman" w:hAnsi="Roboto"/>
                          <w:i/>
                          <w:iCs/>
                          <w:color w:val="FFFFFF" w:themeColor="background1"/>
                          <w:sz w:val="19"/>
                          <w:szCs w:val="19"/>
                          <w:lang w:eastAsia="en-GB"/>
                        </w:rPr>
                        <w:t>Having been at the forefront of economics and policy of health and life sciences innovation for the past 60 years, OHE has a rich history of supporting and promoting original thinking which solves the problems of the day and the future.</w:t>
                      </w:r>
                    </w:p>
                    <w:p w14:paraId="1530584D" w14:textId="77777777" w:rsidR="003D73A9" w:rsidRPr="003D73A9" w:rsidRDefault="003D73A9" w:rsidP="003D73A9">
                      <w:pPr>
                        <w:spacing w:after="0" w:line="384" w:lineRule="atLeast"/>
                        <w:rPr>
                          <w:rFonts w:ascii="Roboto" w:eastAsia="Times New Roman" w:hAnsi="Roboto"/>
                          <w:color w:val="FFFFFF" w:themeColor="background1"/>
                          <w:sz w:val="21"/>
                          <w:szCs w:val="21"/>
                          <w:lang w:eastAsia="en-GB"/>
                        </w:rPr>
                      </w:pPr>
                    </w:p>
                    <w:p w14:paraId="34488969" w14:textId="77777777" w:rsidR="003D73A9" w:rsidRPr="00F976E8" w:rsidRDefault="003D73A9" w:rsidP="00F36FF0">
                      <w:pPr>
                        <w:spacing w:after="0" w:line="1000" w:lineRule="exact"/>
                        <w:rPr>
                          <w:rFonts w:ascii="PoynterOSDisp Roman" w:hAnsi="PoynterOSDisp Roman"/>
                          <w:color w:val="FFFFFF" w:themeColor="background1"/>
                          <w:sz w:val="104"/>
                          <w:szCs w:val="104"/>
                        </w:rPr>
                      </w:pPr>
                    </w:p>
                  </w:txbxContent>
                </v:textbox>
                <w10:wrap anchorx="page"/>
              </v:shape>
            </w:pict>
          </mc:Fallback>
        </mc:AlternateContent>
      </w:r>
      <w:r>
        <w:rPr>
          <w:rFonts w:ascii="PoynterOSDisp Roman" w:hAnsi="PoynterOSDisp Roman"/>
          <w:noProof/>
          <w:color w:val="202426"/>
          <w:sz w:val="40"/>
          <w:szCs w:val="40"/>
        </w:rPr>
        <w:drawing>
          <wp:anchor distT="0" distB="0" distL="114300" distR="114300" simplePos="0" relativeHeight="251663360" behindDoc="0" locked="0" layoutInCell="1" allowOverlap="1" wp14:anchorId="6119ECBC" wp14:editId="44C499F1">
            <wp:simplePos x="0" y="0"/>
            <wp:positionH relativeFrom="page">
              <wp:posOffset>15240</wp:posOffset>
            </wp:positionH>
            <wp:positionV relativeFrom="paragraph">
              <wp:posOffset>-2141220</wp:posOffset>
            </wp:positionV>
            <wp:extent cx="7677785" cy="106578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6581" r="22950" b="128"/>
                    <a:stretch/>
                  </pic:blipFill>
                  <pic:spPr bwMode="auto">
                    <a:xfrm>
                      <a:off x="0" y="0"/>
                      <a:ext cx="7677785" cy="1065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FF0">
        <w:rPr>
          <w:noProof/>
        </w:rPr>
        <w:drawing>
          <wp:anchor distT="0" distB="0" distL="114300" distR="114300" simplePos="0" relativeHeight="251665408" behindDoc="0" locked="0" layoutInCell="1" allowOverlap="1" wp14:anchorId="5191259F" wp14:editId="352B71D2">
            <wp:simplePos x="0" y="0"/>
            <wp:positionH relativeFrom="margin">
              <wp:posOffset>2253724</wp:posOffset>
            </wp:positionH>
            <wp:positionV relativeFrom="paragraph">
              <wp:posOffset>-1715135</wp:posOffset>
            </wp:positionV>
            <wp:extent cx="1260475" cy="1260475"/>
            <wp:effectExtent l="0" t="0" r="0" b="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36FF0" w:rsidRPr="00F36FF0">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5F808" w14:textId="77777777" w:rsidR="0038182C" w:rsidRDefault="0038182C" w:rsidP="0030667C">
      <w:pPr>
        <w:spacing w:after="0" w:line="240" w:lineRule="auto"/>
      </w:pPr>
      <w:r>
        <w:separator/>
      </w:r>
    </w:p>
  </w:endnote>
  <w:endnote w:type="continuationSeparator" w:id="0">
    <w:p w14:paraId="3A97CFAA" w14:textId="77777777" w:rsidR="0038182C" w:rsidRDefault="0038182C" w:rsidP="0030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oynterOSDisp Roman">
    <w:panose1 w:val="02000503080000020003"/>
    <w:charset w:val="00"/>
    <w:family w:val="modern"/>
    <w:notTrueType/>
    <w:pitch w:val="variable"/>
    <w:sig w:usb0="800000AF" w:usb1="5000204A"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8666395"/>
      <w:docPartObj>
        <w:docPartGallery w:val="Page Numbers (Bottom of Page)"/>
        <w:docPartUnique/>
      </w:docPartObj>
    </w:sdtPr>
    <w:sdtContent>
      <w:p w14:paraId="293E6D2D" w14:textId="0AB50DBC" w:rsidR="002775B9" w:rsidRDefault="002775B9" w:rsidP="00DD5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40AF8998" w14:textId="77777777" w:rsidR="002775B9" w:rsidRDefault="002775B9" w:rsidP="00277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9450657"/>
      <w:docPartObj>
        <w:docPartGallery w:val="Page Numbers (Bottom of Page)"/>
        <w:docPartUnique/>
      </w:docPartObj>
    </w:sdtPr>
    <w:sdtContent>
      <w:p w14:paraId="3DB491FC" w14:textId="7FCF289E" w:rsidR="002775B9" w:rsidRDefault="002775B9" w:rsidP="00DD5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1C2D077" w14:textId="1C96CC1C" w:rsidR="00785D4B" w:rsidRPr="009A2533" w:rsidRDefault="00785D4B" w:rsidP="00983C7F">
    <w:pPr>
      <w:pStyle w:val="Footer"/>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1D285" w14:textId="77777777" w:rsidR="0038182C" w:rsidRDefault="0038182C" w:rsidP="0030667C">
      <w:pPr>
        <w:spacing w:after="0" w:line="240" w:lineRule="auto"/>
      </w:pPr>
      <w:r>
        <w:separator/>
      </w:r>
    </w:p>
  </w:footnote>
  <w:footnote w:type="continuationSeparator" w:id="0">
    <w:p w14:paraId="3147DC9F" w14:textId="77777777" w:rsidR="0038182C" w:rsidRDefault="0038182C" w:rsidP="00306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5F8B" w14:textId="77777777" w:rsidR="0030667C" w:rsidRDefault="00AD1027" w:rsidP="0030667C">
    <w:pPr>
      <w:pStyle w:val="Header"/>
      <w:jc w:val="center"/>
      <w:rPr>
        <w:rFonts w:ascii="Roboto Medium" w:hAnsi="Roboto Medium"/>
        <w:caps/>
        <w:sz w:val="20"/>
        <w:szCs w:val="20"/>
      </w:rPr>
    </w:pPr>
    <w:r w:rsidRPr="006E7D36">
      <w:rPr>
        <w:noProof/>
      </w:rPr>
      <w:drawing>
        <wp:anchor distT="0" distB="0" distL="114300" distR="114300" simplePos="0" relativeHeight="251658240" behindDoc="0" locked="0" layoutInCell="1" allowOverlap="1" wp14:anchorId="714AB586" wp14:editId="6BE432BF">
          <wp:simplePos x="0" y="0"/>
          <wp:positionH relativeFrom="column">
            <wp:posOffset>1905000</wp:posOffset>
          </wp:positionH>
          <wp:positionV relativeFrom="paragraph">
            <wp:posOffset>-1905</wp:posOffset>
          </wp:positionV>
          <wp:extent cx="1917700" cy="1079500"/>
          <wp:effectExtent l="0" t="0" r="6350" b="6350"/>
          <wp:wrapThrough wrapText="bothSides">
            <wp:wrapPolygon edited="0">
              <wp:start x="0" y="0"/>
              <wp:lineTo x="0" y="21346"/>
              <wp:lineTo x="21457" y="21346"/>
              <wp:lineTo x="21457" y="0"/>
              <wp:lineTo x="0" y="0"/>
            </wp:wrapPolygon>
          </wp:wrapThrough>
          <wp:docPr id="3"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a:alphaModFix amt="25000"/>
                    <a:extLst>
                      <a:ext uri="{28A0092B-C50C-407E-A947-70E740481C1C}">
                        <a14:useLocalDpi xmlns:a14="http://schemas.microsoft.com/office/drawing/2010/main" val="0"/>
                      </a:ext>
                    </a:extLst>
                  </a:blip>
                  <a:srcRect/>
                  <a:stretch>
                    <a:fillRect/>
                  </a:stretch>
                </pic:blipFill>
                <pic:spPr bwMode="auto">
                  <a:xfrm>
                    <a:off x="0" y="0"/>
                    <a:ext cx="1917700" cy="1079500"/>
                  </a:xfrm>
                  <a:prstGeom prst="rect">
                    <a:avLst/>
                  </a:prstGeom>
                  <a:noFill/>
                  <a:ln>
                    <a:noFill/>
                  </a:ln>
                </pic:spPr>
              </pic:pic>
            </a:graphicData>
          </a:graphic>
        </wp:anchor>
      </w:drawing>
    </w:r>
  </w:p>
  <w:p w14:paraId="13CF42B2" w14:textId="77777777" w:rsidR="003D21AE" w:rsidRDefault="003D21AE" w:rsidP="0030667C">
    <w:pPr>
      <w:pStyle w:val="Header"/>
      <w:rPr>
        <w:rFonts w:ascii="Roboto Medium" w:hAnsi="Roboto Medium" w:cs="Arial"/>
        <w:caps/>
        <w:color w:val="006167"/>
        <w:sz w:val="18"/>
        <w:szCs w:val="18"/>
      </w:rPr>
    </w:pPr>
  </w:p>
  <w:p w14:paraId="1F3A7295" w14:textId="0863FB72" w:rsidR="003D21AE" w:rsidRDefault="003D21AE" w:rsidP="0030667C">
    <w:pPr>
      <w:pStyle w:val="Header"/>
      <w:rPr>
        <w:rFonts w:ascii="Roboto Medium" w:hAnsi="Roboto Medium" w:cs="Arial"/>
        <w:caps/>
        <w:color w:val="006167"/>
        <w:sz w:val="18"/>
        <w:szCs w:val="18"/>
      </w:rPr>
    </w:pPr>
  </w:p>
  <w:p w14:paraId="7EB20A05" w14:textId="790131B1" w:rsidR="003D21AE" w:rsidRDefault="003D21AE" w:rsidP="0030667C">
    <w:pPr>
      <w:pStyle w:val="Header"/>
      <w:rPr>
        <w:rFonts w:ascii="Roboto Medium" w:hAnsi="Roboto Medium" w:cs="Arial"/>
        <w:caps/>
        <w:color w:val="006167"/>
        <w:sz w:val="18"/>
        <w:szCs w:val="18"/>
      </w:rPr>
    </w:pPr>
  </w:p>
  <w:p w14:paraId="3CE80323" w14:textId="77777777" w:rsidR="003D21AE" w:rsidRDefault="003D21AE" w:rsidP="0030667C">
    <w:pPr>
      <w:pStyle w:val="Header"/>
      <w:rPr>
        <w:rFonts w:ascii="Roboto Medium" w:hAnsi="Roboto Medium" w:cs="Arial"/>
        <w:caps/>
        <w:color w:val="006167"/>
        <w:sz w:val="18"/>
        <w:szCs w:val="18"/>
      </w:rPr>
    </w:pPr>
  </w:p>
  <w:p w14:paraId="63D54EE4" w14:textId="6E087366" w:rsidR="003D21AE" w:rsidRDefault="003D21AE" w:rsidP="0030667C">
    <w:pPr>
      <w:pStyle w:val="Header"/>
      <w:rPr>
        <w:rFonts w:ascii="Roboto Medium" w:hAnsi="Roboto Medium" w:cs="Arial"/>
        <w:caps/>
        <w:color w:val="006167"/>
        <w:sz w:val="18"/>
        <w:szCs w:val="18"/>
      </w:rPr>
    </w:pPr>
  </w:p>
  <w:p w14:paraId="2F580B46" w14:textId="662B4BD3" w:rsidR="0030667C" w:rsidRPr="00B92428" w:rsidRDefault="00F81C03" w:rsidP="0030667C">
    <w:pPr>
      <w:pStyle w:val="Header"/>
      <w:rPr>
        <w:rFonts w:ascii="Roboto Medium" w:hAnsi="Roboto Medium" w:cs="Arial"/>
        <w:caps/>
        <w:color w:val="000000"/>
        <w:sz w:val="18"/>
        <w:szCs w:val="18"/>
        <w14:textFill>
          <w14:solidFill>
            <w14:srgbClr w14:val="000000">
              <w14:alpha w14:val="75000"/>
            </w14:srgbClr>
          </w14:solidFill>
        </w14:textFill>
      </w:rPr>
    </w:pPr>
    <w:r>
      <w:rPr>
        <w:rFonts w:ascii="Roboto Medium" w:hAnsi="Roboto Medium" w:cs="Arial"/>
        <w:caps/>
        <w:color w:val="000000"/>
        <w:sz w:val="18"/>
        <w:szCs w:val="18"/>
        <w14:textFill>
          <w14:solidFill>
            <w14:srgbClr w14:val="000000">
              <w14:alpha w14:val="75000"/>
            </w14:srgbClr>
          </w14:solidFill>
        </w14:textFill>
      </w:rPr>
      <w:t>WINNER</w:t>
    </w:r>
  </w:p>
  <w:p w14:paraId="47EFA6F1" w14:textId="5BE4D616" w:rsidR="0030667C" w:rsidRPr="00B92428" w:rsidRDefault="003D3159" w:rsidP="000A32E6">
    <w:pPr>
      <w:pStyle w:val="Header"/>
      <w:rPr>
        <w:rFonts w:ascii="Roboto Light" w:hAnsi="Roboto Light"/>
        <w:color w:val="000000"/>
        <w:sz w:val="32"/>
        <w:szCs w:val="32"/>
        <w14:textFill>
          <w14:solidFill>
            <w14:srgbClr w14:val="000000">
              <w14:alpha w14:val="75000"/>
            </w14:srgbClr>
          </w14:solidFill>
        </w14:textFill>
      </w:rPr>
    </w:pPr>
    <w:r w:rsidRPr="003D3159">
      <w:rPr>
        <w:rFonts w:ascii="Roboto Light" w:hAnsi="Roboto Light"/>
        <w:noProof/>
        <w:color w:val="000000"/>
        <w:sz w:val="32"/>
        <w:szCs w:val="32"/>
        <w14:textFill>
          <w14:solidFill>
            <w14:srgbClr w14:val="000000">
              <w14:alpha w14:val="75000"/>
            </w14:srgbClr>
          </w14:solidFill>
        </w14:textFill>
      </w:rPr>
      <mc:AlternateContent>
        <mc:Choice Requires="wps">
          <w:drawing>
            <wp:anchor distT="45720" distB="45720" distL="114300" distR="114300" simplePos="0" relativeHeight="251660288" behindDoc="1" locked="0" layoutInCell="1" allowOverlap="1" wp14:anchorId="00B2631D" wp14:editId="6662068E">
              <wp:simplePos x="0" y="0"/>
              <wp:positionH relativeFrom="column">
                <wp:posOffset>3889167</wp:posOffset>
              </wp:positionH>
              <wp:positionV relativeFrom="paragraph">
                <wp:posOffset>211455</wp:posOffset>
              </wp:positionV>
              <wp:extent cx="2360930" cy="1404620"/>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46A578" w14:textId="7BF4F60F" w:rsidR="003D3159" w:rsidRPr="003D3159" w:rsidRDefault="003D3159" w:rsidP="003D3159">
                          <w:pPr>
                            <w:jc w:val="right"/>
                            <w:rPr>
                              <w:rFonts w:ascii="Roboto Light" w:hAnsi="Roboto Light"/>
                              <w:color w:val="000000"/>
                              <w:sz w:val="26"/>
                              <w:szCs w:val="26"/>
                              <w14:textFill>
                                <w14:solidFill>
                                  <w14:srgbClr w14:val="000000">
                                    <w14:alpha w14:val="75000"/>
                                  </w14:srgbClr>
                                </w14:solidFill>
                              </w14:textFill>
                            </w:rPr>
                          </w:pPr>
                          <w:r w:rsidRPr="003D3159">
                            <w:rPr>
                              <w:rFonts w:ascii="Roboto Light" w:hAnsi="Roboto Light"/>
                              <w:color w:val="000000"/>
                              <w:sz w:val="26"/>
                              <w:szCs w:val="26"/>
                              <w14:textFill>
                                <w14:solidFill>
                                  <w14:srgbClr w14:val="000000">
                                    <w14:alpha w14:val="75000"/>
                                  </w14:srgbClr>
                                </w14:solidFill>
                              </w14:textFill>
                            </w:rPr>
                            <w:t>Professor Aiden Hollis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B2631D" id="_x0000_t202" coordsize="21600,21600" o:spt="202" path="m,l,21600r21600,l21600,xe">
              <v:stroke joinstyle="miter"/>
              <v:path gradientshapeok="t" o:connecttype="rect"/>
            </v:shapetype>
            <v:shape id="_x0000_s1028" type="#_x0000_t202" style="position:absolute;margin-left:306.25pt;margin-top:16.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" filled="f" stroked="f">
              <v:textbox style="mso-fit-shape-to-text:t">
                <w:txbxContent>
                  <w:p w14:paraId="3646A578" w14:textId="7BF4F60F" w:rsidR="003D3159" w:rsidRPr="003D3159" w:rsidRDefault="003D3159" w:rsidP="003D3159">
                    <w:pPr>
                      <w:jc w:val="right"/>
                      <w:rPr>
                        <w:rFonts w:ascii="Roboto Light" w:hAnsi="Roboto Light"/>
                        <w:sz w:val="26"/>
                        <w:szCs w:val="26"/>
                        <w14:textFill>
                          <w14:solidFill>
                            <w14:srgbClr w14:val="000000">
                              <w14:alpha w14:val="75000"/>
                            </w14:srgbClr>
                          </w14:solidFill>
                        </w14:textFill>
                      </w:rPr>
                    </w:pPr>
                    <w:r w:rsidRPr="003D3159">
                      <w:rPr>
                        <w:rFonts w:ascii="Roboto Light" w:hAnsi="Roboto Light"/>
                        <w:sz w:val="26"/>
                        <w:szCs w:val="26"/>
                        <w14:textFill>
                          <w14:solidFill>
                            <w14:srgbClr w14:val="000000">
                              <w14:alpha w14:val="75000"/>
                            </w14:srgbClr>
                          </w14:solidFill>
                        </w14:textFill>
                      </w:rPr>
                      <w:t>Professor Aiden Hollis</w:t>
                    </w:r>
                  </w:p>
                </w:txbxContent>
              </v:textbox>
            </v:shape>
          </w:pict>
        </mc:Fallback>
      </mc:AlternateContent>
    </w:r>
    <w:r w:rsidR="003D21AE" w:rsidRPr="00B92428">
      <w:rPr>
        <w:rFonts w:ascii="Roboto Light" w:hAnsi="Roboto Light"/>
        <w:color w:val="000000"/>
        <w:sz w:val="32"/>
        <w:szCs w:val="32"/>
        <w14:textFill>
          <w14:solidFill>
            <w14:srgbClr w14:val="000000">
              <w14:alpha w14:val="75000"/>
            </w14:srgbClr>
          </w14:solidFill>
        </w14:textFill>
      </w:rPr>
      <w:t xml:space="preserve">OHE Innovation </w:t>
    </w:r>
    <w:r w:rsidR="003D21AE" w:rsidRPr="00B92428">
      <w:rPr>
        <w:rFonts w:ascii="Roboto Light" w:hAnsi="Roboto Light"/>
        <w:color w:val="000000"/>
        <w:sz w:val="32"/>
        <w:szCs w:val="32"/>
        <w14:textFill>
          <w14:solidFill>
            <w14:srgbClr w14:val="000000">
              <w14:alpha w14:val="75000"/>
            </w14:srgbClr>
          </w14:solidFill>
        </w14:textFill>
      </w:rPr>
      <w:br/>
    </w:r>
    <w:r w:rsidR="003D21AE" w:rsidRPr="00B92428">
      <w:rPr>
        <w:rFonts w:ascii="Roboto Light" w:hAnsi="Roboto Light"/>
        <w:color w:val="000000"/>
        <w:sz w:val="32"/>
        <w:szCs w:val="32"/>
        <w14:textFill>
          <w14:solidFill>
            <w14:srgbClr w14:val="000000">
              <w14:alpha w14:val="75000"/>
            </w14:srgbClr>
          </w14:solidFill>
        </w14:textFill>
      </w:rPr>
      <w:br/>
      <w:t>Policy Prize 2022</w:t>
    </w:r>
  </w:p>
  <w:p w14:paraId="124C474C" w14:textId="1357D760" w:rsidR="003D21AE" w:rsidRPr="003D21AE" w:rsidRDefault="003D21AE" w:rsidP="000A32E6">
    <w:pPr>
      <w:pStyle w:val="Header"/>
      <w:rPr>
        <w:rFonts w:ascii="Roboto Light" w:hAnsi="Roboto Light"/>
        <w:color w:val="006167"/>
        <w:sz w:val="20"/>
        <w:szCs w:val="20"/>
      </w:rPr>
    </w:pPr>
  </w:p>
  <w:p w14:paraId="2BEE2A29" w14:textId="77777777" w:rsidR="003D21AE" w:rsidRPr="003D21AE" w:rsidRDefault="003D21AE" w:rsidP="000A32E6">
    <w:pPr>
      <w:pStyle w:val="Header"/>
      <w:rPr>
        <w:rFonts w:ascii="Roboto Light" w:hAnsi="Roboto Light"/>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1CE4"/>
    <w:multiLevelType w:val="hybridMultilevel"/>
    <w:tmpl w:val="59C8D90E"/>
    <w:lvl w:ilvl="0" w:tplc="208E4A28">
      <w:start w:val="9"/>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C0240"/>
    <w:multiLevelType w:val="multilevel"/>
    <w:tmpl w:val="AED48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964992"/>
    <w:multiLevelType w:val="multilevel"/>
    <w:tmpl w:val="76DC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F7402"/>
    <w:multiLevelType w:val="hybridMultilevel"/>
    <w:tmpl w:val="8410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41125"/>
    <w:multiLevelType w:val="hybridMultilevel"/>
    <w:tmpl w:val="F22E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1C0054"/>
    <w:multiLevelType w:val="multilevel"/>
    <w:tmpl w:val="949E0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F55B69"/>
    <w:multiLevelType w:val="multilevel"/>
    <w:tmpl w:val="949E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270936">
    <w:abstractNumId w:val="4"/>
  </w:num>
  <w:num w:numId="2" w16cid:durableId="370227642">
    <w:abstractNumId w:val="5"/>
  </w:num>
  <w:num w:numId="3" w16cid:durableId="1382483291">
    <w:abstractNumId w:val="6"/>
  </w:num>
  <w:num w:numId="4" w16cid:durableId="835531235">
    <w:abstractNumId w:val="0"/>
  </w:num>
  <w:num w:numId="5" w16cid:durableId="808787574">
    <w:abstractNumId w:val="3"/>
  </w:num>
  <w:num w:numId="6" w16cid:durableId="9643142">
    <w:abstractNumId w:val="2"/>
  </w:num>
  <w:num w:numId="7" w16cid:durableId="68622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00616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67C"/>
    <w:rsid w:val="00002853"/>
    <w:rsid w:val="00024FC0"/>
    <w:rsid w:val="00027FFB"/>
    <w:rsid w:val="000323A9"/>
    <w:rsid w:val="00032793"/>
    <w:rsid w:val="000328D2"/>
    <w:rsid w:val="00040BF3"/>
    <w:rsid w:val="00043D7E"/>
    <w:rsid w:val="00050A52"/>
    <w:rsid w:val="00060B47"/>
    <w:rsid w:val="00074886"/>
    <w:rsid w:val="000977DC"/>
    <w:rsid w:val="000A32E6"/>
    <w:rsid w:val="000A7804"/>
    <w:rsid w:val="000B007A"/>
    <w:rsid w:val="000B32C5"/>
    <w:rsid w:val="000C476F"/>
    <w:rsid w:val="000F678E"/>
    <w:rsid w:val="0011473B"/>
    <w:rsid w:val="00127F53"/>
    <w:rsid w:val="001328E0"/>
    <w:rsid w:val="001405C2"/>
    <w:rsid w:val="00147A6D"/>
    <w:rsid w:val="00151F46"/>
    <w:rsid w:val="00163915"/>
    <w:rsid w:val="00175D3D"/>
    <w:rsid w:val="00186828"/>
    <w:rsid w:val="001933EF"/>
    <w:rsid w:val="00196025"/>
    <w:rsid w:val="0019741E"/>
    <w:rsid w:val="001A00F1"/>
    <w:rsid w:val="001A7AD0"/>
    <w:rsid w:val="001C3AD1"/>
    <w:rsid w:val="001C6077"/>
    <w:rsid w:val="001C7429"/>
    <w:rsid w:val="001D521F"/>
    <w:rsid w:val="001F0C8B"/>
    <w:rsid w:val="001F64AA"/>
    <w:rsid w:val="001F682D"/>
    <w:rsid w:val="002101C5"/>
    <w:rsid w:val="002218E2"/>
    <w:rsid w:val="00222F0B"/>
    <w:rsid w:val="002242DD"/>
    <w:rsid w:val="00235FB9"/>
    <w:rsid w:val="00240497"/>
    <w:rsid w:val="00254A48"/>
    <w:rsid w:val="002705E5"/>
    <w:rsid w:val="00275D22"/>
    <w:rsid w:val="00276D56"/>
    <w:rsid w:val="002775B9"/>
    <w:rsid w:val="00282E00"/>
    <w:rsid w:val="002945F1"/>
    <w:rsid w:val="002968DF"/>
    <w:rsid w:val="002A1825"/>
    <w:rsid w:val="002A5FFD"/>
    <w:rsid w:val="002B5B13"/>
    <w:rsid w:val="002C579E"/>
    <w:rsid w:val="002D1DF7"/>
    <w:rsid w:val="002D33E8"/>
    <w:rsid w:val="002D59CD"/>
    <w:rsid w:val="00302155"/>
    <w:rsid w:val="0030667C"/>
    <w:rsid w:val="00332950"/>
    <w:rsid w:val="0035548D"/>
    <w:rsid w:val="00360D2E"/>
    <w:rsid w:val="00375AEA"/>
    <w:rsid w:val="00375C60"/>
    <w:rsid w:val="0038182C"/>
    <w:rsid w:val="00382EEF"/>
    <w:rsid w:val="003A1808"/>
    <w:rsid w:val="003A2A05"/>
    <w:rsid w:val="003B6906"/>
    <w:rsid w:val="003C1B0B"/>
    <w:rsid w:val="003C1FCD"/>
    <w:rsid w:val="003C395F"/>
    <w:rsid w:val="003D21AE"/>
    <w:rsid w:val="003D3159"/>
    <w:rsid w:val="003D4A9A"/>
    <w:rsid w:val="003D73A9"/>
    <w:rsid w:val="003E3574"/>
    <w:rsid w:val="003F282D"/>
    <w:rsid w:val="004058B0"/>
    <w:rsid w:val="00421CAD"/>
    <w:rsid w:val="00422B32"/>
    <w:rsid w:val="00422E82"/>
    <w:rsid w:val="00432407"/>
    <w:rsid w:val="00437F7D"/>
    <w:rsid w:val="00442D18"/>
    <w:rsid w:val="004434D7"/>
    <w:rsid w:val="0045719A"/>
    <w:rsid w:val="004741BD"/>
    <w:rsid w:val="004846BC"/>
    <w:rsid w:val="004A2B63"/>
    <w:rsid w:val="004B77E3"/>
    <w:rsid w:val="004C4B34"/>
    <w:rsid w:val="004D514B"/>
    <w:rsid w:val="004E6D7C"/>
    <w:rsid w:val="004F1D45"/>
    <w:rsid w:val="0053681C"/>
    <w:rsid w:val="0053776D"/>
    <w:rsid w:val="00557322"/>
    <w:rsid w:val="005614D6"/>
    <w:rsid w:val="005615D9"/>
    <w:rsid w:val="005626C5"/>
    <w:rsid w:val="00562C96"/>
    <w:rsid w:val="00571623"/>
    <w:rsid w:val="00571B9E"/>
    <w:rsid w:val="00575A6F"/>
    <w:rsid w:val="00592AE8"/>
    <w:rsid w:val="005A0CE0"/>
    <w:rsid w:val="005A2037"/>
    <w:rsid w:val="005B3527"/>
    <w:rsid w:val="005E0465"/>
    <w:rsid w:val="005F589F"/>
    <w:rsid w:val="005F5DEB"/>
    <w:rsid w:val="0060144C"/>
    <w:rsid w:val="00601D76"/>
    <w:rsid w:val="0060637C"/>
    <w:rsid w:val="006275EA"/>
    <w:rsid w:val="00632213"/>
    <w:rsid w:val="006351ED"/>
    <w:rsid w:val="00650676"/>
    <w:rsid w:val="00657112"/>
    <w:rsid w:val="0068200F"/>
    <w:rsid w:val="006825B2"/>
    <w:rsid w:val="0068527A"/>
    <w:rsid w:val="00691978"/>
    <w:rsid w:val="00692FFA"/>
    <w:rsid w:val="006A4D4F"/>
    <w:rsid w:val="006C174A"/>
    <w:rsid w:val="006C5510"/>
    <w:rsid w:val="006D3F85"/>
    <w:rsid w:val="006D6086"/>
    <w:rsid w:val="006E3142"/>
    <w:rsid w:val="006E4568"/>
    <w:rsid w:val="006F67A8"/>
    <w:rsid w:val="006F7AB3"/>
    <w:rsid w:val="0070343A"/>
    <w:rsid w:val="00703681"/>
    <w:rsid w:val="007058B2"/>
    <w:rsid w:val="00712E0A"/>
    <w:rsid w:val="00720C16"/>
    <w:rsid w:val="00722D6E"/>
    <w:rsid w:val="00724A1E"/>
    <w:rsid w:val="00725FE2"/>
    <w:rsid w:val="007279D9"/>
    <w:rsid w:val="00734FFD"/>
    <w:rsid w:val="00745603"/>
    <w:rsid w:val="00751D98"/>
    <w:rsid w:val="00765241"/>
    <w:rsid w:val="00775A14"/>
    <w:rsid w:val="0078126C"/>
    <w:rsid w:val="0078241D"/>
    <w:rsid w:val="00783E4A"/>
    <w:rsid w:val="00785D4B"/>
    <w:rsid w:val="00790229"/>
    <w:rsid w:val="007A59A3"/>
    <w:rsid w:val="007A63FC"/>
    <w:rsid w:val="007B05A6"/>
    <w:rsid w:val="007C412A"/>
    <w:rsid w:val="00805D19"/>
    <w:rsid w:val="00805DDF"/>
    <w:rsid w:val="008076F8"/>
    <w:rsid w:val="008158DD"/>
    <w:rsid w:val="008521EE"/>
    <w:rsid w:val="00853A8A"/>
    <w:rsid w:val="00875BF4"/>
    <w:rsid w:val="00877D0E"/>
    <w:rsid w:val="00890655"/>
    <w:rsid w:val="00890968"/>
    <w:rsid w:val="008B31CE"/>
    <w:rsid w:val="008B4B63"/>
    <w:rsid w:val="008C0097"/>
    <w:rsid w:val="008C05F9"/>
    <w:rsid w:val="008C07B9"/>
    <w:rsid w:val="008C4AD5"/>
    <w:rsid w:val="008E239E"/>
    <w:rsid w:val="008E33DC"/>
    <w:rsid w:val="008E5AEF"/>
    <w:rsid w:val="009076E9"/>
    <w:rsid w:val="00915CB0"/>
    <w:rsid w:val="00917A5C"/>
    <w:rsid w:val="00920AC0"/>
    <w:rsid w:val="00934261"/>
    <w:rsid w:val="00936877"/>
    <w:rsid w:val="00946275"/>
    <w:rsid w:val="0095361E"/>
    <w:rsid w:val="00962F8B"/>
    <w:rsid w:val="009744AA"/>
    <w:rsid w:val="00983C7F"/>
    <w:rsid w:val="00995CA5"/>
    <w:rsid w:val="00996CB4"/>
    <w:rsid w:val="009973BB"/>
    <w:rsid w:val="009A2533"/>
    <w:rsid w:val="009C1A14"/>
    <w:rsid w:val="009F1167"/>
    <w:rsid w:val="009F2423"/>
    <w:rsid w:val="009F3FB1"/>
    <w:rsid w:val="009F6A4C"/>
    <w:rsid w:val="00A02877"/>
    <w:rsid w:val="00A05CDF"/>
    <w:rsid w:val="00A06314"/>
    <w:rsid w:val="00A131D6"/>
    <w:rsid w:val="00A17BB7"/>
    <w:rsid w:val="00A2797D"/>
    <w:rsid w:val="00A7779C"/>
    <w:rsid w:val="00A83A33"/>
    <w:rsid w:val="00A84074"/>
    <w:rsid w:val="00A911BB"/>
    <w:rsid w:val="00A9624D"/>
    <w:rsid w:val="00AA63A3"/>
    <w:rsid w:val="00AA7CB3"/>
    <w:rsid w:val="00AB4A96"/>
    <w:rsid w:val="00AC3276"/>
    <w:rsid w:val="00AD1027"/>
    <w:rsid w:val="00AF5C30"/>
    <w:rsid w:val="00B00777"/>
    <w:rsid w:val="00B21005"/>
    <w:rsid w:val="00B27008"/>
    <w:rsid w:val="00B41D1C"/>
    <w:rsid w:val="00B601FE"/>
    <w:rsid w:val="00B62526"/>
    <w:rsid w:val="00B7270C"/>
    <w:rsid w:val="00B75DCC"/>
    <w:rsid w:val="00B876E2"/>
    <w:rsid w:val="00B90068"/>
    <w:rsid w:val="00B90DEF"/>
    <w:rsid w:val="00B92428"/>
    <w:rsid w:val="00B92928"/>
    <w:rsid w:val="00B94A8B"/>
    <w:rsid w:val="00BA3659"/>
    <w:rsid w:val="00BC36F5"/>
    <w:rsid w:val="00BF1963"/>
    <w:rsid w:val="00BF52D8"/>
    <w:rsid w:val="00BF6FAD"/>
    <w:rsid w:val="00C13EBF"/>
    <w:rsid w:val="00C162D3"/>
    <w:rsid w:val="00C330CB"/>
    <w:rsid w:val="00C5238D"/>
    <w:rsid w:val="00C550A1"/>
    <w:rsid w:val="00C572D3"/>
    <w:rsid w:val="00C629F9"/>
    <w:rsid w:val="00C70ABC"/>
    <w:rsid w:val="00C826DB"/>
    <w:rsid w:val="00C967F7"/>
    <w:rsid w:val="00CA0583"/>
    <w:rsid w:val="00CB3071"/>
    <w:rsid w:val="00CB3E7F"/>
    <w:rsid w:val="00CD2319"/>
    <w:rsid w:val="00CF3B71"/>
    <w:rsid w:val="00D13DEE"/>
    <w:rsid w:val="00D345DB"/>
    <w:rsid w:val="00D42661"/>
    <w:rsid w:val="00D43F6C"/>
    <w:rsid w:val="00D4468F"/>
    <w:rsid w:val="00D468D0"/>
    <w:rsid w:val="00D4756B"/>
    <w:rsid w:val="00D6227D"/>
    <w:rsid w:val="00D66AE5"/>
    <w:rsid w:val="00D705C3"/>
    <w:rsid w:val="00D759C6"/>
    <w:rsid w:val="00D77608"/>
    <w:rsid w:val="00D842E7"/>
    <w:rsid w:val="00DA57C9"/>
    <w:rsid w:val="00DB2CAA"/>
    <w:rsid w:val="00DC5200"/>
    <w:rsid w:val="00DD467E"/>
    <w:rsid w:val="00DF1BAC"/>
    <w:rsid w:val="00E04C68"/>
    <w:rsid w:val="00E0675B"/>
    <w:rsid w:val="00E23278"/>
    <w:rsid w:val="00E33095"/>
    <w:rsid w:val="00E42B04"/>
    <w:rsid w:val="00E639A0"/>
    <w:rsid w:val="00E72871"/>
    <w:rsid w:val="00E77622"/>
    <w:rsid w:val="00EB022C"/>
    <w:rsid w:val="00EB1663"/>
    <w:rsid w:val="00EC0CA2"/>
    <w:rsid w:val="00EE186F"/>
    <w:rsid w:val="00EE6BCE"/>
    <w:rsid w:val="00EF4E56"/>
    <w:rsid w:val="00F02D43"/>
    <w:rsid w:val="00F13657"/>
    <w:rsid w:val="00F36FF0"/>
    <w:rsid w:val="00F4592D"/>
    <w:rsid w:val="00F537AB"/>
    <w:rsid w:val="00F57520"/>
    <w:rsid w:val="00F61653"/>
    <w:rsid w:val="00F61F0B"/>
    <w:rsid w:val="00F706EE"/>
    <w:rsid w:val="00F72DC4"/>
    <w:rsid w:val="00F81C03"/>
    <w:rsid w:val="00F86976"/>
    <w:rsid w:val="00F976E8"/>
    <w:rsid w:val="00FC2FD5"/>
    <w:rsid w:val="00FC6DFB"/>
    <w:rsid w:val="00FE6D7A"/>
    <w:rsid w:val="00FE7A1E"/>
    <w:rsid w:val="00FF2D59"/>
    <w:rsid w:val="3D7E1E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16a"/>
    </o:shapedefaults>
    <o:shapelayout v:ext="edit">
      <o:idmap v:ext="edit" data="2"/>
    </o:shapelayout>
  </w:shapeDefaults>
  <w:decimalSymbol w:val="."/>
  <w:listSeparator w:val=","/>
  <w14:docId w14:val="6E5977FA"/>
  <w15:chartTrackingRefBased/>
  <w15:docId w15:val="{6A07F264-5A7D-5743-87F5-A9DD1CBF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rsid w:val="00571B9E"/>
    <w:pPr>
      <w:tabs>
        <w:tab w:val="left" w:pos="567"/>
      </w:tabs>
      <w:outlineLvl w:val="0"/>
    </w:pPr>
    <w:rPr>
      <w:rFonts w:ascii="Arial" w:hAnsi="Arial" w:cs="Arial"/>
      <w:b/>
      <w:bCs/>
      <w:color w:val="202426"/>
      <w:sz w:val="24"/>
      <w:szCs w:val="24"/>
      <w:u w:val="single"/>
    </w:rPr>
  </w:style>
  <w:style w:type="paragraph" w:styleId="Heading2">
    <w:name w:val="heading 2"/>
    <w:basedOn w:val="Normal"/>
    <w:link w:val="Heading2Char"/>
    <w:uiPriority w:val="9"/>
    <w:qFormat/>
    <w:rsid w:val="00571B9E"/>
    <w:pPr>
      <w:outlineLvl w:val="1"/>
    </w:pPr>
    <w:rPr>
      <w:rFonts w:ascii="Arial" w:hAnsi="Arial" w:cs="Arial"/>
      <w:b/>
      <w:bCs/>
      <w:color w:val="2024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67C"/>
  </w:style>
  <w:style w:type="paragraph" w:styleId="Footer">
    <w:name w:val="footer"/>
    <w:basedOn w:val="Normal"/>
    <w:link w:val="FooterChar"/>
    <w:uiPriority w:val="99"/>
    <w:unhideWhenUsed/>
    <w:rsid w:val="00306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67C"/>
  </w:style>
  <w:style w:type="table" w:styleId="TableGrid">
    <w:name w:val="Table Grid"/>
    <w:basedOn w:val="TableNormal"/>
    <w:uiPriority w:val="39"/>
    <w:rsid w:val="00306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5A6F"/>
    <w:pPr>
      <w:ind w:left="720"/>
      <w:contextualSpacing/>
    </w:pPr>
  </w:style>
  <w:style w:type="character" w:customStyle="1" w:styleId="Heading1Char">
    <w:name w:val="Heading 1 Char"/>
    <w:link w:val="Heading1"/>
    <w:uiPriority w:val="9"/>
    <w:rsid w:val="00571B9E"/>
    <w:rPr>
      <w:rFonts w:ascii="Arial" w:hAnsi="Arial" w:cs="Arial"/>
      <w:b/>
      <w:bCs/>
      <w:color w:val="202426"/>
      <w:sz w:val="24"/>
      <w:szCs w:val="24"/>
      <w:u w:val="single"/>
      <w:lang w:val="en-GB"/>
    </w:rPr>
  </w:style>
  <w:style w:type="character" w:customStyle="1" w:styleId="Heading2Char">
    <w:name w:val="Heading 2 Char"/>
    <w:link w:val="Heading2"/>
    <w:uiPriority w:val="9"/>
    <w:rsid w:val="00571B9E"/>
    <w:rPr>
      <w:rFonts w:ascii="Arial" w:hAnsi="Arial" w:cs="Arial"/>
      <w:b/>
      <w:bCs/>
      <w:color w:val="202426"/>
      <w:sz w:val="21"/>
      <w:szCs w:val="21"/>
      <w:lang w:val="en-GB"/>
    </w:rPr>
  </w:style>
  <w:style w:type="character" w:styleId="Hyperlink">
    <w:name w:val="Hyperlink"/>
    <w:uiPriority w:val="99"/>
    <w:unhideWhenUsed/>
    <w:rsid w:val="00FF2D59"/>
    <w:rPr>
      <w:color w:val="0563C1"/>
      <w:u w:val="single"/>
    </w:rPr>
  </w:style>
  <w:style w:type="character" w:styleId="UnresolvedMention">
    <w:name w:val="Unresolved Mention"/>
    <w:uiPriority w:val="99"/>
    <w:semiHidden/>
    <w:unhideWhenUsed/>
    <w:rsid w:val="00FF2D59"/>
    <w:rPr>
      <w:color w:val="605E5C"/>
      <w:shd w:val="clear" w:color="auto" w:fill="E1DFDD"/>
    </w:rPr>
  </w:style>
  <w:style w:type="character" w:customStyle="1" w:styleId="title-text">
    <w:name w:val="title-text"/>
    <w:basedOn w:val="DefaultParagraphFont"/>
    <w:rsid w:val="00FF2D59"/>
  </w:style>
  <w:style w:type="character" w:customStyle="1" w:styleId="apple-converted-space">
    <w:name w:val="apple-converted-space"/>
    <w:basedOn w:val="DefaultParagraphFont"/>
    <w:rsid w:val="00FF2D59"/>
  </w:style>
  <w:style w:type="paragraph" w:styleId="NormalWeb">
    <w:name w:val="Normal (Web)"/>
    <w:basedOn w:val="Normal"/>
    <w:uiPriority w:val="99"/>
    <w:semiHidden/>
    <w:unhideWhenUsed/>
    <w:rsid w:val="00FF2D59"/>
    <w:pPr>
      <w:spacing w:before="100" w:beforeAutospacing="1" w:after="100" w:afterAutospacing="1" w:line="240" w:lineRule="auto"/>
    </w:pPr>
    <w:rPr>
      <w:rFonts w:ascii="Times New Roman" w:eastAsia="Times New Roman" w:hAnsi="Times New Roman"/>
      <w:sz w:val="24"/>
      <w:szCs w:val="24"/>
      <w:lang w:val="en-CA"/>
    </w:rPr>
  </w:style>
  <w:style w:type="character" w:styleId="FollowedHyperlink">
    <w:name w:val="FollowedHyperlink"/>
    <w:uiPriority w:val="99"/>
    <w:semiHidden/>
    <w:unhideWhenUsed/>
    <w:rsid w:val="00FF2D59"/>
    <w:rPr>
      <w:color w:val="954F72"/>
      <w:u w:val="single"/>
    </w:rPr>
  </w:style>
  <w:style w:type="character" w:styleId="Strong">
    <w:name w:val="Strong"/>
    <w:uiPriority w:val="22"/>
    <w:qFormat/>
    <w:rsid w:val="00FF2D59"/>
    <w:rPr>
      <w:b/>
      <w:bCs/>
    </w:rPr>
  </w:style>
  <w:style w:type="character" w:styleId="CommentReference">
    <w:name w:val="annotation reference"/>
    <w:uiPriority w:val="99"/>
    <w:semiHidden/>
    <w:unhideWhenUsed/>
    <w:rsid w:val="00FF2D59"/>
    <w:rPr>
      <w:sz w:val="16"/>
      <w:szCs w:val="16"/>
    </w:rPr>
  </w:style>
  <w:style w:type="paragraph" w:styleId="CommentText">
    <w:name w:val="annotation text"/>
    <w:basedOn w:val="Normal"/>
    <w:link w:val="CommentTextChar"/>
    <w:uiPriority w:val="99"/>
    <w:semiHidden/>
    <w:unhideWhenUsed/>
    <w:rsid w:val="00FF2D59"/>
    <w:rPr>
      <w:sz w:val="20"/>
      <w:szCs w:val="20"/>
    </w:rPr>
  </w:style>
  <w:style w:type="character" w:customStyle="1" w:styleId="CommentTextChar">
    <w:name w:val="Comment Text Char"/>
    <w:link w:val="CommentText"/>
    <w:uiPriority w:val="99"/>
    <w:semiHidden/>
    <w:rsid w:val="00FF2D59"/>
    <w:rPr>
      <w:lang w:val="en-GB"/>
    </w:rPr>
  </w:style>
  <w:style w:type="paragraph" w:styleId="CommentSubject">
    <w:name w:val="annotation subject"/>
    <w:basedOn w:val="CommentText"/>
    <w:next w:val="CommentText"/>
    <w:link w:val="CommentSubjectChar"/>
    <w:uiPriority w:val="99"/>
    <w:semiHidden/>
    <w:unhideWhenUsed/>
    <w:rsid w:val="00FF2D59"/>
    <w:rPr>
      <w:b/>
      <w:bCs/>
    </w:rPr>
  </w:style>
  <w:style w:type="character" w:customStyle="1" w:styleId="CommentSubjectChar">
    <w:name w:val="Comment Subject Char"/>
    <w:link w:val="CommentSubject"/>
    <w:uiPriority w:val="99"/>
    <w:semiHidden/>
    <w:rsid w:val="00FF2D59"/>
    <w:rPr>
      <w:b/>
      <w:bCs/>
      <w:lang w:val="en-GB"/>
    </w:rPr>
  </w:style>
  <w:style w:type="character" w:styleId="PageNumber">
    <w:name w:val="page number"/>
    <w:basedOn w:val="DefaultParagraphFont"/>
    <w:uiPriority w:val="99"/>
    <w:semiHidden/>
    <w:unhideWhenUsed/>
    <w:rsid w:val="002775B9"/>
  </w:style>
  <w:style w:type="character" w:styleId="PlaceholderText">
    <w:name w:val="Placeholder Text"/>
    <w:basedOn w:val="DefaultParagraphFont"/>
    <w:uiPriority w:val="99"/>
    <w:semiHidden/>
    <w:rsid w:val="000B32C5"/>
    <w:rPr>
      <w:color w:val="808080"/>
    </w:rPr>
  </w:style>
  <w:style w:type="paragraph" w:styleId="Title">
    <w:name w:val="Title"/>
    <w:basedOn w:val="Normal"/>
    <w:next w:val="Normal"/>
    <w:link w:val="TitleChar"/>
    <w:uiPriority w:val="10"/>
    <w:qFormat/>
    <w:rsid w:val="004571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19A"/>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B94A8B"/>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61404">
      <w:bodyDiv w:val="1"/>
      <w:marLeft w:val="0"/>
      <w:marRight w:val="0"/>
      <w:marTop w:val="0"/>
      <w:marBottom w:val="0"/>
      <w:divBdr>
        <w:top w:val="none" w:sz="0" w:space="0" w:color="auto"/>
        <w:left w:val="none" w:sz="0" w:space="0" w:color="auto"/>
        <w:bottom w:val="none" w:sz="0" w:space="0" w:color="auto"/>
        <w:right w:val="none" w:sz="0" w:space="0" w:color="auto"/>
      </w:divBdr>
    </w:div>
    <w:div w:id="810439689">
      <w:bodyDiv w:val="1"/>
      <w:marLeft w:val="0"/>
      <w:marRight w:val="0"/>
      <w:marTop w:val="0"/>
      <w:marBottom w:val="0"/>
      <w:divBdr>
        <w:top w:val="none" w:sz="0" w:space="0" w:color="auto"/>
        <w:left w:val="none" w:sz="0" w:space="0" w:color="auto"/>
        <w:bottom w:val="none" w:sz="0" w:space="0" w:color="auto"/>
        <w:right w:val="none" w:sz="0" w:space="0" w:color="auto"/>
      </w:divBdr>
    </w:div>
    <w:div w:id="1094470297">
      <w:bodyDiv w:val="1"/>
      <w:marLeft w:val="0"/>
      <w:marRight w:val="0"/>
      <w:marTop w:val="0"/>
      <w:marBottom w:val="0"/>
      <w:divBdr>
        <w:top w:val="none" w:sz="0" w:space="0" w:color="auto"/>
        <w:left w:val="none" w:sz="0" w:space="0" w:color="auto"/>
        <w:bottom w:val="none" w:sz="0" w:space="0" w:color="auto"/>
        <w:right w:val="none" w:sz="0" w:space="0" w:color="auto"/>
      </w:divBdr>
    </w:div>
    <w:div w:id="1188564986">
      <w:bodyDiv w:val="1"/>
      <w:marLeft w:val="0"/>
      <w:marRight w:val="0"/>
      <w:marTop w:val="0"/>
      <w:marBottom w:val="0"/>
      <w:divBdr>
        <w:top w:val="none" w:sz="0" w:space="0" w:color="auto"/>
        <w:left w:val="none" w:sz="0" w:space="0" w:color="auto"/>
        <w:bottom w:val="none" w:sz="0" w:space="0" w:color="auto"/>
        <w:right w:val="none" w:sz="0" w:space="0" w:color="auto"/>
      </w:divBdr>
    </w:div>
    <w:div w:id="1853687961">
      <w:bodyDiv w:val="1"/>
      <w:marLeft w:val="0"/>
      <w:marRight w:val="0"/>
      <w:marTop w:val="0"/>
      <w:marBottom w:val="0"/>
      <w:divBdr>
        <w:top w:val="none" w:sz="0" w:space="0" w:color="auto"/>
        <w:left w:val="none" w:sz="0" w:space="0" w:color="auto"/>
        <w:bottom w:val="none" w:sz="0" w:space="0" w:color="auto"/>
        <w:right w:val="none" w:sz="0" w:space="0" w:color="auto"/>
      </w:divBdr>
    </w:div>
    <w:div w:id="19398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althimpactfund.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ercepharma.com/pharma/gsk-clinches-un-malaria-vaccine-deal-more-three-decades-mak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8257-8097-744A-A91B-9013B87D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16623</Words>
  <Characters>94756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111157</CharactersWithSpaces>
  <SharedDoc>false</SharedDoc>
  <HyperlinkBase/>
  <HLinks>
    <vt:vector size="12" baseType="variant">
      <vt:variant>
        <vt:i4>1114131</vt:i4>
      </vt:variant>
      <vt:variant>
        <vt:i4>85</vt:i4>
      </vt:variant>
      <vt:variant>
        <vt:i4>0</vt:i4>
      </vt:variant>
      <vt:variant>
        <vt:i4>5</vt:i4>
      </vt:variant>
      <vt:variant>
        <vt:lpwstr>https://healthimpactfund.org/</vt:lpwstr>
      </vt:variant>
      <vt:variant>
        <vt:lpwstr/>
      </vt:variant>
      <vt:variant>
        <vt:i4>3276856</vt:i4>
      </vt:variant>
      <vt:variant>
        <vt:i4>79</vt:i4>
      </vt:variant>
      <vt:variant>
        <vt:i4>0</vt:i4>
      </vt:variant>
      <vt:variant>
        <vt:i4>5</vt:i4>
      </vt:variant>
      <vt:variant>
        <vt:lpwstr>https://www.fiercepharma.com/pharma/gsk-clinches-un-malaria-vaccine-deal-more-three-decades-making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Davies</dc:creator>
  <cp:keywords/>
  <dc:description/>
  <cp:lastModifiedBy>Charlotte Davies</cp:lastModifiedBy>
  <cp:revision>2</cp:revision>
  <cp:lastPrinted>2022-12-06T13:03:00Z</cp:lastPrinted>
  <dcterms:created xsi:type="dcterms:W3CDTF">2023-01-15T18:23:00Z</dcterms:created>
  <dcterms:modified xsi:type="dcterms:W3CDTF">2023-01-15T18:23:00Z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http://www.zotero.org/styles/journal-of-hospital-infection</vt:lpwstr>
  </property>
  <property fmtid="{D5CDD505-2E9C-101B-9397-08002B2CF9AE}" pid="13" name="Mendeley Recent Style Name 5_1">
    <vt:lpwstr>Journal of Hospital Infection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603478ce-1a20-34c2-ae2c-cc663074f0fd</vt:lpwstr>
  </property>
  <property fmtid="{D5CDD505-2E9C-101B-9397-08002B2CF9AE}" pid="24" name="Mendeley Citation Style_1">
    <vt:lpwstr>http://www.zotero.org/styles/vancouver</vt:lpwstr>
  </property>
</Properties>
</file>